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543" w:rsidRDefault="00155F55">
      <w:pPr>
        <w:spacing w:after="150"/>
      </w:pPr>
      <w:r>
        <w:rPr>
          <w:rFonts w:ascii="Arial"/>
          <w:color w:val="000000"/>
        </w:rPr>
        <w:t>﻿</w:t>
      </w:r>
      <w:bookmarkStart w:id="0" w:name="_GoBack"/>
      <w:bookmarkEnd w:id="0"/>
      <w:r>
        <w:t xml:space="preserve"> </w:t>
      </w:r>
    </w:p>
    <w:p w:rsidR="004E3543" w:rsidRDefault="00155F55">
      <w:pPr>
        <w:spacing w:after="150"/>
      </w:pPr>
      <w:r>
        <w:rPr>
          <w:color w:val="000000"/>
        </w:rPr>
        <w:t>На основу члaна 44а Закона о заштити од пожара („Службени гласник РС”, бр. 111/09 и 20/15),</w:t>
      </w:r>
    </w:p>
    <w:p w:rsidR="004E3543" w:rsidRDefault="00155F55">
      <w:pPr>
        <w:spacing w:after="150"/>
      </w:pPr>
      <w:r>
        <w:rPr>
          <w:color w:val="000000"/>
        </w:rPr>
        <w:t>Министар унутрашњих послова доноси</w:t>
      </w:r>
    </w:p>
    <w:p w:rsidR="004E3543" w:rsidRDefault="00155F55">
      <w:pPr>
        <w:spacing w:after="225"/>
        <w:jc w:val="center"/>
      </w:pPr>
      <w:r>
        <w:rPr>
          <w:b/>
          <w:color w:val="000000"/>
        </w:rPr>
        <w:t>ПРАВИЛНИК</w:t>
      </w:r>
    </w:p>
    <w:p w:rsidR="004E3543" w:rsidRDefault="00155F55">
      <w:pPr>
        <w:spacing w:after="225"/>
        <w:jc w:val="center"/>
      </w:pPr>
      <w:r>
        <w:rPr>
          <w:b/>
          <w:color w:val="000000"/>
        </w:rPr>
        <w:t>о техничким нормативима за инсталације хидрантске мреже за гашење пожара</w:t>
      </w:r>
    </w:p>
    <w:p w:rsidR="004E3543" w:rsidRDefault="00155F55">
      <w:pPr>
        <w:spacing w:after="120"/>
        <w:jc w:val="center"/>
      </w:pPr>
      <w:r>
        <w:rPr>
          <w:color w:val="000000"/>
        </w:rPr>
        <w:t>"Службени гласник РС", број 3 од 12. јануара 2018.</w:t>
      </w:r>
    </w:p>
    <w:p w:rsidR="004E3543" w:rsidRDefault="00155F55">
      <w:pPr>
        <w:spacing w:after="120"/>
        <w:jc w:val="center"/>
      </w:pPr>
      <w:r>
        <w:rPr>
          <w:color w:val="000000"/>
        </w:rPr>
        <w:t>I. OПШТЕ ОДРЕДБЕ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1.</w:t>
      </w:r>
    </w:p>
    <w:p w:rsidR="004E3543" w:rsidRDefault="00155F55">
      <w:pPr>
        <w:spacing w:after="150"/>
      </w:pPr>
      <w:r>
        <w:rPr>
          <w:color w:val="000000"/>
        </w:rPr>
        <w:t>Овим правилником прописују се технички нормативи за пројектовање, извођење, употребу, контролисањ</w:t>
      </w:r>
      <w:r>
        <w:rPr>
          <w:color w:val="000000"/>
        </w:rPr>
        <w:t>е и одржавање инсталације хидрантске мреже за гашење пожара водом.</w:t>
      </w:r>
    </w:p>
    <w:p w:rsidR="004E3543" w:rsidRDefault="00155F55">
      <w:pPr>
        <w:spacing w:after="150"/>
      </w:pPr>
      <w:r>
        <w:rPr>
          <w:color w:val="000000"/>
        </w:rPr>
        <w:t xml:space="preserve">Овим правилником утврђују се обавезни елементи прорачуна и захтеви за изворе, капацитет, количину воде, укупну количину воде и притисак воде у инсталацији спољне хидрантске мреже за гашење </w:t>
      </w:r>
      <w:r>
        <w:rPr>
          <w:color w:val="000000"/>
        </w:rPr>
        <w:t>пожара насељених места као и у инсталацији спољне и унутрашње хидрантске мреже за гашење пожара објеката.</w:t>
      </w:r>
    </w:p>
    <w:p w:rsidR="004E3543" w:rsidRDefault="00155F55">
      <w:pPr>
        <w:spacing w:after="150"/>
      </w:pPr>
      <w:r>
        <w:rPr>
          <w:color w:val="000000"/>
        </w:rPr>
        <w:t xml:space="preserve">Када су посебни захтеви за инсталацију хидрантске мреже за гашење пожара – утврђени посебним правилницима, примењиваће се одредбе тих правилника, а у </w:t>
      </w:r>
      <w:r>
        <w:rPr>
          <w:color w:val="000000"/>
        </w:rPr>
        <w:t>свему осталом примењиваће се захтеви утврђени овим правилником.</w:t>
      </w:r>
    </w:p>
    <w:p w:rsidR="004E3543" w:rsidRDefault="00155F55">
      <w:pPr>
        <w:spacing w:after="150"/>
      </w:pPr>
      <w:r>
        <w:rPr>
          <w:color w:val="000000"/>
        </w:rPr>
        <w:t>Одредбе овог правилника не односе се на стабилне системе за гашење пожара.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2.</w:t>
      </w:r>
    </w:p>
    <w:p w:rsidR="004E3543" w:rsidRDefault="00155F55">
      <w:pPr>
        <w:spacing w:after="150"/>
      </w:pPr>
      <w:r>
        <w:rPr>
          <w:color w:val="000000"/>
        </w:rPr>
        <w:t>Термини и појмови употребљени у овом правилнику имају следећа значења:</w:t>
      </w:r>
    </w:p>
    <w:p w:rsidR="004E3543" w:rsidRDefault="00155F55">
      <w:pPr>
        <w:spacing w:after="150"/>
      </w:pPr>
      <w:r>
        <w:rPr>
          <w:color w:val="000000"/>
        </w:rPr>
        <w:t>1) инсталација хидрантске мреже за гаш</w:t>
      </w:r>
      <w:r>
        <w:rPr>
          <w:color w:val="000000"/>
        </w:rPr>
        <w:t xml:space="preserve">ење пожара је водоводна мрежа која се састоји од објеката, цевовода, опреме и уређаја којима се вода за гашење на сигуран начин доводи од поузданог извора воде до објеката и простора штићених инсталацијом хидрантске мреже, а на коју се уграђују хидрантски </w:t>
      </w:r>
      <w:r>
        <w:rPr>
          <w:color w:val="000000"/>
        </w:rPr>
        <w:t>прикључци за гашење пожара;</w:t>
      </w:r>
    </w:p>
    <w:p w:rsidR="004E3543" w:rsidRDefault="00155F55">
      <w:pPr>
        <w:spacing w:after="150"/>
      </w:pPr>
      <w:r>
        <w:rPr>
          <w:color w:val="000000"/>
        </w:rPr>
        <w:t>2) цевовод инсталације хидрантске мреже (у даљем тексту: цевовод) је стабилно положени цевовод са цевним затварачима и прикључцима за гашење пожара;</w:t>
      </w:r>
    </w:p>
    <w:p w:rsidR="004E3543" w:rsidRDefault="00155F55">
      <w:pPr>
        <w:spacing w:after="150"/>
      </w:pPr>
      <w:r>
        <w:rPr>
          <w:color w:val="000000"/>
        </w:rPr>
        <w:t>3) хидрантски прикључак за гашење пожара за спољну уградњу (у даљем тексту: спо</w:t>
      </w:r>
      <w:r>
        <w:rPr>
          <w:color w:val="000000"/>
        </w:rPr>
        <w:t xml:space="preserve">љни хидрант) је посебна врста прикључка у складу са стандардима SRPS EN 14384 и SRPS EN 14339, који се користи за непосредно </w:t>
      </w:r>
      <w:r>
        <w:rPr>
          <w:color w:val="000000"/>
        </w:rPr>
        <w:lastRenderedPageBreak/>
        <w:t>гашење пожара, или се на њега прикључују преносне ватрогасне пумпе односно ватрогасна возила са уграђеним пумпама;</w:t>
      </w:r>
    </w:p>
    <w:p w:rsidR="004E3543" w:rsidRDefault="00155F55">
      <w:pPr>
        <w:spacing w:after="150"/>
      </w:pPr>
      <w:r>
        <w:rPr>
          <w:color w:val="000000"/>
        </w:rPr>
        <w:t>4) хидрантски пр</w:t>
      </w:r>
      <w:r>
        <w:rPr>
          <w:color w:val="000000"/>
        </w:rPr>
        <w:t>икључак за гашење пожара за унутрашњу уградњу (у даљем тексту: унутрашњи хидрант) је посебна врста прикључка у складу са стандардима SRPS EN 671-1 и SRPS ЕN 671-2, који се користи за непосредно гашење пожара;</w:t>
      </w:r>
    </w:p>
    <w:p w:rsidR="004E3543" w:rsidRDefault="00155F55">
      <w:pPr>
        <w:spacing w:after="150"/>
      </w:pPr>
      <w:r>
        <w:rPr>
          <w:color w:val="000000"/>
        </w:rPr>
        <w:t>5) јавна водоводна мрежа је водоводна мрежа нас</w:t>
      </w:r>
      <w:r>
        <w:rPr>
          <w:color w:val="000000"/>
        </w:rPr>
        <w:t>ељеног места у надлежности јавног предузећа која обухвата објекте изворишта воде, прераде воде, резервоаре, пумпне станице, магистралне цевоводе и дистрибутивну мрежу са спољним хидрантима и све друге цевоводе са спољним хидрантима до места прикључења потр</w:t>
      </w:r>
      <w:r>
        <w:rPr>
          <w:color w:val="000000"/>
        </w:rPr>
        <w:t>ошача;</w:t>
      </w:r>
    </w:p>
    <w:p w:rsidR="004E3543" w:rsidRDefault="00155F55">
      <w:pPr>
        <w:spacing w:after="150"/>
      </w:pPr>
      <w:r>
        <w:rPr>
          <w:color w:val="000000"/>
        </w:rPr>
        <w:t>6) локална водоводна мрежа је водоводна мрежа комплекса у власништву привредног субјекта или другог правног или физичког лица, која има сопствене изворе воде (резервоаре, бунаре, водозахвате из реке, језера, канала и сл.), пумпну станицу, интерни це</w:t>
      </w:r>
      <w:r>
        <w:rPr>
          <w:color w:val="000000"/>
        </w:rPr>
        <w:t>вовод са спољним хидрантима, са које се напаја инсталација спољне и унутрашње хидрантске мреже свих објеката у комплексу;</w:t>
      </w:r>
    </w:p>
    <w:p w:rsidR="004E3543" w:rsidRDefault="00155F55">
      <w:pPr>
        <w:spacing w:after="150"/>
      </w:pPr>
      <w:r>
        <w:rPr>
          <w:color w:val="000000"/>
        </w:rPr>
        <w:t>7) рачунски број пожара је број пожара који могу настати у току три узастопна часа на подручју насељеног места за које се димензионише</w:t>
      </w:r>
      <w:r>
        <w:rPr>
          <w:color w:val="000000"/>
        </w:rPr>
        <w:t xml:space="preserve"> инсталација хидрантске мреже као саставни део јавне водоводне мреже;</w:t>
      </w:r>
    </w:p>
    <w:p w:rsidR="004E3543" w:rsidRDefault="00155F55">
      <w:pPr>
        <w:spacing w:after="150"/>
      </w:pPr>
      <w:r>
        <w:rPr>
          <w:color w:val="000000"/>
        </w:rPr>
        <w:t xml:space="preserve">8) станица за захватање воде (у даљем тексту: станица) је објекат изграђен поред реке или акумулације воде (језеро, канал, базен, бунар и др.) намењен за трајан смештај опреме и уређаја </w:t>
      </w:r>
      <w:r>
        <w:rPr>
          <w:color w:val="000000"/>
        </w:rPr>
        <w:t>за стално напајање инсталације хидрантске мреже за гашење пожара водом;</w:t>
      </w:r>
    </w:p>
    <w:p w:rsidR="004E3543" w:rsidRDefault="00155F55">
      <w:pPr>
        <w:spacing w:after="150"/>
      </w:pPr>
      <w:r>
        <w:rPr>
          <w:color w:val="000000"/>
        </w:rPr>
        <w:t>9) привремена станица за захватање воде (у даљем тексту: привремена станица) је уређено место поред реке или акумулације воде (језеро, канал, базен, бунар и др.) намењено за привремено</w:t>
      </w:r>
      <w:r>
        <w:rPr>
          <w:color w:val="000000"/>
        </w:rPr>
        <w:t xml:space="preserve"> постављање ватрогасних возила са уграђеном пумпом за захватање воде као и друге опреме и уређаја за потребе гашења пожара;</w:t>
      </w:r>
    </w:p>
    <w:p w:rsidR="004E3543" w:rsidRDefault="00155F55">
      <w:pPr>
        <w:spacing w:after="150"/>
      </w:pPr>
      <w:r>
        <w:rPr>
          <w:color w:val="000000"/>
        </w:rPr>
        <w:t>10) инсталација спољне хидрантске мреже (у даљем тексту: спољна хидрантска мрежа) је део инсталације хидрантске мреже за гашење пожа</w:t>
      </w:r>
      <w:r>
        <w:rPr>
          <w:color w:val="000000"/>
        </w:rPr>
        <w:t>ра и представља скуп грађевинских објеката, опреме и уређаја, којима се вода од извора за снабдевање водом допрема цевоводима до спољних хидраната за гашење пожара укључујући и саме хидранте;</w:t>
      </w:r>
    </w:p>
    <w:p w:rsidR="004E3543" w:rsidRDefault="00155F55">
      <w:pPr>
        <w:spacing w:after="150"/>
      </w:pPr>
      <w:r>
        <w:rPr>
          <w:color w:val="000000"/>
        </w:rPr>
        <w:t>11) инсталација унутрашње хидрантске мреже (у даљем тексту: унут</w:t>
      </w:r>
      <w:r>
        <w:rPr>
          <w:color w:val="000000"/>
        </w:rPr>
        <w:t>рашња хидрантска мрежа) је део инсталације хидрантске мреже за гашење пожара и представља скуп опреме и уређаја у објекту, којима се вода цевоводима допрема до унутрашњих хидраната за гашење пожара укључујући и саме хидранте. Изузетно, уређај за подизање п</w:t>
      </w:r>
      <w:r>
        <w:rPr>
          <w:color w:val="000000"/>
        </w:rPr>
        <w:t>ритиска воде у хидрантској мрежи може бити смештен у посебном слободностојећем објекту, и у том случају такође представља део инсталације унутрашње хидрантске мреже;</w:t>
      </w:r>
    </w:p>
    <w:p w:rsidR="004E3543" w:rsidRDefault="00155F55">
      <w:pPr>
        <w:spacing w:after="150"/>
      </w:pPr>
      <w:r>
        <w:rPr>
          <w:color w:val="000000"/>
        </w:rPr>
        <w:lastRenderedPageBreak/>
        <w:t>12) непосредно гашење пожара је гашење пожара употребом спољног или унутрашњег хидранта, в</w:t>
      </w:r>
      <w:r>
        <w:rPr>
          <w:color w:val="000000"/>
        </w:rPr>
        <w:t>атрогасног црева и млазнице без употребе преносне, превозне или пумпе на ватрогасном возилу;</w:t>
      </w:r>
    </w:p>
    <w:p w:rsidR="004E3543" w:rsidRDefault="00155F55">
      <w:pPr>
        <w:spacing w:after="150"/>
      </w:pPr>
      <w:r>
        <w:rPr>
          <w:color w:val="000000"/>
        </w:rPr>
        <w:t>13) резервни извор за снабдевање електричном енергијом инсталације хидрантске мреже је уређај који аутоматски ступа у рад или се укључује ручно у случају када нест</w:t>
      </w:r>
      <w:r>
        <w:rPr>
          <w:color w:val="000000"/>
        </w:rPr>
        <w:t>ане електричне енергије у примарном извору са кога се напајају опрема и уређаји инсталације хидрантске мреже;</w:t>
      </w:r>
    </w:p>
    <w:p w:rsidR="004E3543" w:rsidRDefault="00155F55">
      <w:pPr>
        <w:spacing w:after="150"/>
      </w:pPr>
      <w:r>
        <w:rPr>
          <w:color w:val="000000"/>
        </w:rPr>
        <w:t xml:space="preserve">14) висина објекта је висинска разлика између коте коловоза уз објекат или платоа намењеног за ватрогасно возило са којег се врши </w:t>
      </w:r>
      <w:r>
        <w:rPr>
          <w:color w:val="000000"/>
        </w:rPr>
        <w:t>ватрогасна интервенција у случају пожара у објекту и коте пода највише етаже на којој бораве људи;</w:t>
      </w:r>
    </w:p>
    <w:p w:rsidR="004E3543" w:rsidRDefault="00155F55">
      <w:pPr>
        <w:spacing w:after="150"/>
      </w:pPr>
      <w:r>
        <w:rPr>
          <w:color w:val="000000"/>
        </w:rPr>
        <w:t>15) суви вод инсталације хидрантске мреже је цевовод који у нормалним условима није испуњен водом (због опасности од замрзавања и др.), а који се у случају п</w:t>
      </w:r>
      <w:r>
        <w:rPr>
          <w:color w:val="000000"/>
        </w:rPr>
        <w:t>ожара испуњава водом после даљинског отварања одговарајућег цевног затварача;</w:t>
      </w:r>
    </w:p>
    <w:p w:rsidR="004E3543" w:rsidRDefault="00155F55">
      <w:pPr>
        <w:spacing w:after="150"/>
      </w:pPr>
      <w:r>
        <w:rPr>
          <w:color w:val="000000"/>
        </w:rPr>
        <w:t>16) поуздан извор инсталације хидрантске мреже (у даљем тексту: поуздан извор) је извор који може у складу са овим правилником да обезбеди количину, укупну количину и притисак во</w:t>
      </w:r>
      <w:r>
        <w:rPr>
          <w:color w:val="000000"/>
        </w:rPr>
        <w:t>де таквог квалитета да се може употребити за гашење пожара;</w:t>
      </w:r>
    </w:p>
    <w:p w:rsidR="004E3543" w:rsidRDefault="00155F55">
      <w:pPr>
        <w:spacing w:after="150"/>
      </w:pPr>
      <w:r>
        <w:rPr>
          <w:color w:val="000000"/>
        </w:rPr>
        <w:t>17) количина воде за гашење пожара (у даљем тексту: количина воде) је количина воде у јединици времена потребна да се гаси пожар употребом хидрантске инсталације за гашење пожара;</w:t>
      </w:r>
    </w:p>
    <w:p w:rsidR="004E3543" w:rsidRDefault="00155F55">
      <w:pPr>
        <w:spacing w:after="150"/>
      </w:pPr>
      <w:r>
        <w:rPr>
          <w:color w:val="000000"/>
        </w:rPr>
        <w:t>18) укупна колич</w:t>
      </w:r>
      <w:r>
        <w:rPr>
          <w:color w:val="000000"/>
        </w:rPr>
        <w:t>ина воде за гашење пожара је количина воде која је потребна за гашење пожара употребом инсталације спољне и унутрашње хидрантске мреже за гашење пожара у трајању најмање 120 min. Изузетно у случају када се са истог извора воде напајају и други системи за г</w:t>
      </w:r>
      <w:r>
        <w:rPr>
          <w:color w:val="000000"/>
        </w:rPr>
        <w:t xml:space="preserve">ашење пожара, тада се укупна количина воде потребна за гашење пожара утврђује као збир укупне количине воде за гашење пожара употребом инсталације хидрантске мреже у трајању најмање 120 min и укупне количине воде за потребе других система за гашење пожара </w:t>
      </w:r>
      <w:r>
        <w:rPr>
          <w:color w:val="000000"/>
        </w:rPr>
        <w:t>у трајању предвиђеном за те системе;</w:t>
      </w:r>
    </w:p>
    <w:p w:rsidR="004E3543" w:rsidRDefault="00155F55">
      <w:pPr>
        <w:spacing w:after="150"/>
      </w:pPr>
      <w:r>
        <w:rPr>
          <w:color w:val="000000"/>
        </w:rPr>
        <w:t>19) насељено место јесте изграђени, функционално обједињени простор на коме су обезбеђени услови за живот и рад људи и задовољавање заједничких потреба становника;</w:t>
      </w:r>
    </w:p>
    <w:p w:rsidR="004E3543" w:rsidRDefault="00155F55">
      <w:pPr>
        <w:spacing w:after="150"/>
      </w:pPr>
      <w:r>
        <w:rPr>
          <w:color w:val="000000"/>
        </w:rPr>
        <w:t>20) уређај за подизање притиска воде у хидрантској мреж</w:t>
      </w:r>
      <w:r>
        <w:rPr>
          <w:color w:val="000000"/>
        </w:rPr>
        <w:t>и је аутоматски уређај који се састоји од уређаја за управљање, пумпи и извршних елемената, а који је намењен да подиже притисак воде у хидрантској мрежи;</w:t>
      </w:r>
    </w:p>
    <w:p w:rsidR="004E3543" w:rsidRDefault="00155F55">
      <w:pPr>
        <w:spacing w:after="150"/>
      </w:pPr>
      <w:r>
        <w:rPr>
          <w:color w:val="000000"/>
        </w:rPr>
        <w:t xml:space="preserve">21) специфично пожарно оптерећење је пожарно оптерећење које се одређује у складу са SRPS U.Ј1.030 и </w:t>
      </w:r>
      <w:r>
        <w:rPr>
          <w:color w:val="000000"/>
        </w:rPr>
        <w:t>може бити ниско, средње и високо пожарно оптерећење.</w:t>
      </w:r>
    </w:p>
    <w:p w:rsidR="004E3543" w:rsidRDefault="00155F55">
      <w:pPr>
        <w:spacing w:after="120"/>
        <w:jc w:val="center"/>
      </w:pPr>
      <w:r>
        <w:rPr>
          <w:color w:val="000000"/>
        </w:rPr>
        <w:lastRenderedPageBreak/>
        <w:t>Члан 3.</w:t>
      </w:r>
    </w:p>
    <w:p w:rsidR="004E3543" w:rsidRDefault="00155F55">
      <w:pPr>
        <w:spacing w:after="150"/>
      </w:pPr>
      <w:r>
        <w:rPr>
          <w:color w:val="000000"/>
        </w:rPr>
        <w:t>Унутрашњом хидрантском мрежом за гашење пожара морају се штитити:</w:t>
      </w:r>
    </w:p>
    <w:p w:rsidR="004E3543" w:rsidRDefault="00155F55">
      <w:pPr>
        <w:spacing w:after="150"/>
      </w:pPr>
      <w:r>
        <w:rPr>
          <w:color w:val="000000"/>
        </w:rPr>
        <w:t>1) објекти и простори за које се то захтева посебним прописима;</w:t>
      </w:r>
    </w:p>
    <w:p w:rsidR="004E3543" w:rsidRDefault="00155F55">
      <w:pPr>
        <w:spacing w:after="150"/>
      </w:pPr>
      <w:r>
        <w:rPr>
          <w:color w:val="000000"/>
        </w:rPr>
        <w:t xml:space="preserve">2) објекти и простори за које је се то захтева </w:t>
      </w:r>
      <w:r>
        <w:rPr>
          <w:color w:val="000000"/>
        </w:rPr>
        <w:t>локацијским условима који се прибављају у поступку изградње објеката;</w:t>
      </w:r>
    </w:p>
    <w:p w:rsidR="004E3543" w:rsidRDefault="00155F55">
      <w:pPr>
        <w:spacing w:after="150"/>
      </w:pPr>
      <w:r>
        <w:rPr>
          <w:color w:val="000000"/>
        </w:rPr>
        <w:t>3) објекти који су разврстани у категорију технолошког процеса према угрожености од пожара К1 до К5 и K1E према члану 11. став 2. овог правилника;</w:t>
      </w:r>
    </w:p>
    <w:p w:rsidR="004E3543" w:rsidRDefault="00155F55">
      <w:pPr>
        <w:spacing w:after="150"/>
      </w:pPr>
      <w:r>
        <w:rPr>
          <w:color w:val="000000"/>
        </w:rPr>
        <w:t xml:space="preserve">4) стална места за заваривање и резање </w:t>
      </w:r>
      <w:r>
        <w:rPr>
          <w:color w:val="000000"/>
        </w:rPr>
        <w:t>која су дефинисана посебним прописом, а налазе се у објекту.</w:t>
      </w:r>
    </w:p>
    <w:p w:rsidR="004E3543" w:rsidRDefault="00155F55">
      <w:pPr>
        <w:spacing w:after="150"/>
      </w:pPr>
      <w:r>
        <w:rPr>
          <w:color w:val="000000"/>
        </w:rPr>
        <w:t>Изузетно од става 1. тачка 3) овог члана, унутрашњом хидрантском мрежом за гашење пожара не морају се штитити:</w:t>
      </w:r>
    </w:p>
    <w:p w:rsidR="004E3543" w:rsidRDefault="00155F55">
      <w:pPr>
        <w:spacing w:after="150"/>
      </w:pPr>
      <w:r>
        <w:rPr>
          <w:color w:val="000000"/>
        </w:rPr>
        <w:t>1) стамбени објекат, ламела, која има висину ≤12 m;</w:t>
      </w:r>
    </w:p>
    <w:p w:rsidR="004E3543" w:rsidRDefault="00155F55">
      <w:pPr>
        <w:spacing w:after="150"/>
      </w:pPr>
      <w:r>
        <w:rPr>
          <w:color w:val="000000"/>
        </w:rPr>
        <w:t>2) пословни или јавни објекат по</w:t>
      </w:r>
      <w:r>
        <w:rPr>
          <w:color w:val="000000"/>
        </w:rPr>
        <w:t>вршине ≤150 m², специфичног пожарног оптерећења ≤360 МЈ/m² и чија је конструкција најмање средњег степена отпорности према пожару, ако посебним прописом није другачије одређено;</w:t>
      </w:r>
    </w:p>
    <w:p w:rsidR="004E3543" w:rsidRDefault="00155F55">
      <w:pPr>
        <w:spacing w:after="150"/>
      </w:pPr>
      <w:r>
        <w:rPr>
          <w:color w:val="000000"/>
        </w:rPr>
        <w:t>3) пословни простори на нивоу околног терена укупне површина ≤150 m² и поједин</w:t>
      </w:r>
      <w:r>
        <w:rPr>
          <w:color w:val="000000"/>
        </w:rPr>
        <w:t>ачног специфичног пожарног оптерећења ≤360 МЈ/m² у које се улази са спољне стране, када су у саставу пословног, јавног или стамбеног објекта чија је конструкција најмање средњег степена отпорности, ако посебним прописом није другачије одређено и ако се пож</w:t>
      </w:r>
      <w:r>
        <w:rPr>
          <w:color w:val="000000"/>
        </w:rPr>
        <w:t>ари у таквим просторијама могу гасити употребом спољне хидрантске мреже;</w:t>
      </w:r>
    </w:p>
    <w:p w:rsidR="004E3543" w:rsidRDefault="00155F55">
      <w:pPr>
        <w:spacing w:after="150"/>
      </w:pPr>
      <w:r>
        <w:rPr>
          <w:color w:val="000000"/>
        </w:rPr>
        <w:t>4) складишни објекат који има најмање средњи степен отпорности према пожару, површину ≤150 m² и специфично пожарно оптерећење ≤360 МЈ/m², ако посебним прописом није другачије одређено</w:t>
      </w:r>
      <w:r>
        <w:rPr>
          <w:color w:val="000000"/>
        </w:rPr>
        <w:t>;</w:t>
      </w:r>
    </w:p>
    <w:p w:rsidR="004E3543" w:rsidRDefault="00155F55">
      <w:pPr>
        <w:spacing w:after="150"/>
      </w:pPr>
      <w:r>
        <w:rPr>
          <w:color w:val="000000"/>
        </w:rPr>
        <w:t>5) индустријски објекат који има површину ≤150 m² и прорачунско пожарно оптерећење ≤100 kWh/m² утврђено посебним прописом;</w:t>
      </w:r>
    </w:p>
    <w:p w:rsidR="004E3543" w:rsidRDefault="00155F55">
      <w:pPr>
        <w:spacing w:after="150"/>
      </w:pPr>
      <w:r>
        <w:rPr>
          <w:color w:val="000000"/>
        </w:rPr>
        <w:t>6) гараже регулисане посебним прописом чија је површина ≤150 m².</w:t>
      </w:r>
    </w:p>
    <w:p w:rsidR="004E3543" w:rsidRDefault="00155F55">
      <w:pPr>
        <w:spacing w:after="150"/>
      </w:pPr>
      <w:r>
        <w:rPr>
          <w:color w:val="000000"/>
        </w:rPr>
        <w:t>Унутрашња хидрантска мрежа се не сме поставити у производним погон</w:t>
      </w:r>
      <w:r>
        <w:rPr>
          <w:color w:val="000000"/>
        </w:rPr>
        <w:t>има и складиштима у којима коришћење воде може створити запаљив гас и изазвати експлозију, пожар и ширење пожара.</w:t>
      </w:r>
    </w:p>
    <w:p w:rsidR="004E3543" w:rsidRDefault="00155F55">
      <w:pPr>
        <w:spacing w:after="150"/>
      </w:pPr>
      <w:r>
        <w:rPr>
          <w:color w:val="000000"/>
        </w:rPr>
        <w:t xml:space="preserve">Унутрашњом хидрантском мрежом за гашење пожара не морају се штитити објекти који се не могу разврстати у категорију технолошког процеса према </w:t>
      </w:r>
      <w:r>
        <w:rPr>
          <w:color w:val="000000"/>
        </w:rPr>
        <w:t>угрожености од пожара К1 до К5 и К1Е према члану 11. став 2. овог правилника ако то посебним прописом није другачије уређено.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4.</w:t>
      </w:r>
    </w:p>
    <w:p w:rsidR="004E3543" w:rsidRDefault="00155F55">
      <w:pPr>
        <w:spacing w:after="150"/>
      </w:pPr>
      <w:r>
        <w:rPr>
          <w:color w:val="000000"/>
        </w:rPr>
        <w:t>Спољашњом хидрантском мрежом за гашење пожара морају се штитити:</w:t>
      </w:r>
    </w:p>
    <w:p w:rsidR="004E3543" w:rsidRDefault="00155F55">
      <w:pPr>
        <w:spacing w:after="150"/>
      </w:pPr>
      <w:r>
        <w:rPr>
          <w:color w:val="000000"/>
        </w:rPr>
        <w:lastRenderedPageBreak/>
        <w:t>1) објекти и простори за које се то захтева посебним проп</w:t>
      </w:r>
      <w:r>
        <w:rPr>
          <w:color w:val="000000"/>
        </w:rPr>
        <w:t>исима;</w:t>
      </w:r>
    </w:p>
    <w:p w:rsidR="004E3543" w:rsidRDefault="00155F55">
      <w:pPr>
        <w:spacing w:after="150"/>
      </w:pPr>
      <w:r>
        <w:rPr>
          <w:color w:val="000000"/>
        </w:rPr>
        <w:t>2) објекти и простори за које се то захтева локацијским условима који се прибављају у поступку изградње објеката или када је то захтевано кроз планске документе;</w:t>
      </w:r>
    </w:p>
    <w:p w:rsidR="004E3543" w:rsidRDefault="00155F55">
      <w:pPr>
        <w:spacing w:after="150"/>
      </w:pPr>
      <w:r>
        <w:rPr>
          <w:color w:val="000000"/>
        </w:rPr>
        <w:t>3) објекти који су разврстани у категорију технолошког процеса према угрожености од пож</w:t>
      </w:r>
      <w:r>
        <w:rPr>
          <w:color w:val="000000"/>
        </w:rPr>
        <w:t>ара К1 до К5 и K1E према члану 11. став 2;</w:t>
      </w:r>
    </w:p>
    <w:p w:rsidR="004E3543" w:rsidRDefault="00155F55">
      <w:pPr>
        <w:spacing w:after="150"/>
      </w:pPr>
      <w:r>
        <w:rPr>
          <w:color w:val="000000"/>
        </w:rPr>
        <w:t>4) насељена места у којима постоји јавна водоводна мрежа.</w:t>
      </w:r>
    </w:p>
    <w:p w:rsidR="004E3543" w:rsidRDefault="00155F55">
      <w:pPr>
        <w:spacing w:after="150"/>
      </w:pPr>
      <w:r>
        <w:rPr>
          <w:color w:val="000000"/>
        </w:rPr>
        <w:t xml:space="preserve">Спољашњом хидрантском мрежом за гашење пожара не морају се штитити објекти који се не могу разврстати у категорију технолошког процеса према </w:t>
      </w:r>
      <w:r>
        <w:rPr>
          <w:color w:val="000000"/>
        </w:rPr>
        <w:t>угрожености од пожара К1 до К5 и К1Е према члану 11. став 2. ако то посебним прописом није другачије уређено.</w:t>
      </w:r>
    </w:p>
    <w:p w:rsidR="004E3543" w:rsidRDefault="00155F55">
      <w:pPr>
        <w:spacing w:after="120"/>
        <w:jc w:val="center"/>
      </w:pPr>
      <w:r>
        <w:rPr>
          <w:color w:val="000000"/>
        </w:rPr>
        <w:t>II. ПОУЗДАНИ ИЗВОРИ ЗА СНАБДЕВАЊЕ ИНСТАЛАЦИЈЕ ХИДРАНТСКЕ МРЕЖЕ ВОДОМ И ПОТРЕБНА КОЛИЧИНА ВОДЕ ЗА ГАШЕЊЕ ПОЖАРА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5.</w:t>
      </w:r>
    </w:p>
    <w:p w:rsidR="004E3543" w:rsidRDefault="00155F55">
      <w:pPr>
        <w:spacing w:after="150"/>
      </w:pPr>
      <w:r>
        <w:rPr>
          <w:color w:val="000000"/>
        </w:rPr>
        <w:t>За снабдевање инсталације х</w:t>
      </w:r>
      <w:r>
        <w:rPr>
          <w:color w:val="000000"/>
        </w:rPr>
        <w:t>идрантске мреже водом може се користити само она јавна или локална водоводна мрежа која има поуздане изворе.</w:t>
      </w:r>
    </w:p>
    <w:p w:rsidR="004E3543" w:rsidRDefault="00155F55">
      <w:pPr>
        <w:spacing w:after="150"/>
      </w:pPr>
      <w:r>
        <w:rPr>
          <w:color w:val="000000"/>
        </w:rPr>
        <w:t>Параметри поузданих извора јавне водоводне мреже из става 1. овог члана документују се условима за пројектовање и прикључење, које издаје ималац ја</w:t>
      </w:r>
      <w:r>
        <w:rPr>
          <w:color w:val="000000"/>
        </w:rPr>
        <w:t>вних овлашћења и који садрже податке о пречнику цевовода, минималном притиску и расположивој количини воде на месту прикључења.</w:t>
      </w:r>
    </w:p>
    <w:p w:rsidR="004E3543" w:rsidRDefault="00155F55">
      <w:pPr>
        <w:spacing w:after="150"/>
      </w:pPr>
      <w:r>
        <w:rPr>
          <w:color w:val="000000"/>
        </w:rPr>
        <w:t>Параметри поузданих извора локалне водоводне мреже документују се у зависности од усвојеног извора снабдевања водом (нпр. елабор</w:t>
      </w:r>
      <w:r>
        <w:rPr>
          <w:color w:val="000000"/>
        </w:rPr>
        <w:t>ат о издашности бунара, карактеристике пројектованог резервоара са пумпном станицом и сл.).</w:t>
      </w:r>
    </w:p>
    <w:p w:rsidR="004E3543" w:rsidRDefault="00155F55">
      <w:pPr>
        <w:spacing w:after="150"/>
      </w:pPr>
      <w:r>
        <w:rPr>
          <w:color w:val="000000"/>
        </w:rPr>
        <w:t>Услови из ст. 2. и 3. овог члана представљају основу за пројектовање инсталације хидрантске мреже.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6.</w:t>
      </w:r>
    </w:p>
    <w:p w:rsidR="004E3543" w:rsidRDefault="00155F55">
      <w:pPr>
        <w:spacing w:after="150"/>
      </w:pPr>
      <w:r>
        <w:rPr>
          <w:color w:val="000000"/>
        </w:rPr>
        <w:t>Када је за поуздан извор за снабдевање инсталације хидран</w:t>
      </w:r>
      <w:r>
        <w:rPr>
          <w:color w:val="000000"/>
        </w:rPr>
        <w:t>тске мреже водом употребљена јавна водоводна мрежа може се извршити раздвајање хидрантске инсталације и инсталације воде за пиће преко засебних водомера.</w:t>
      </w:r>
    </w:p>
    <w:p w:rsidR="004E3543" w:rsidRDefault="00155F55">
      <w:pPr>
        <w:spacing w:after="150"/>
      </w:pPr>
      <w:r>
        <w:rPr>
          <w:color w:val="000000"/>
        </w:rPr>
        <w:t xml:space="preserve">Када је за поуздан извор за снабдевање инсталације хидрантске мреже водом употребљена и подземна вода </w:t>
      </w:r>
      <w:r>
        <w:rPr>
          <w:color w:val="000000"/>
        </w:rPr>
        <w:t>из копаних или бушених бунара, прилив воде у бунар мора се доказати пробним црпљењем воде у најнеповољније време после сушног периода.</w:t>
      </w:r>
    </w:p>
    <w:p w:rsidR="004E3543" w:rsidRDefault="00155F55">
      <w:pPr>
        <w:spacing w:after="150"/>
      </w:pPr>
      <w:r>
        <w:rPr>
          <w:color w:val="000000"/>
        </w:rPr>
        <w:t>Ако се потребна количина воде не може обезбедити из једног или више бунара из става 2. овог члана, тада је потребна изгра</w:t>
      </w:r>
      <w:r>
        <w:rPr>
          <w:color w:val="000000"/>
        </w:rPr>
        <w:t>дња резервоара.</w:t>
      </w:r>
    </w:p>
    <w:p w:rsidR="004E3543" w:rsidRDefault="00155F55">
      <w:pPr>
        <w:spacing w:after="150"/>
      </w:pPr>
      <w:r>
        <w:rPr>
          <w:color w:val="000000"/>
        </w:rPr>
        <w:lastRenderedPageBreak/>
        <w:t>Када се за црпљење воде (из бунара или базена, резервоара и сл.) користи пумпа oна се уграђује према упутству произвођача пумпе, тако да се не угрозе вредности дате од стране произвођача. У погледу сигурности рада система потребно је обезбе</w:t>
      </w:r>
      <w:r>
        <w:rPr>
          <w:color w:val="000000"/>
        </w:rPr>
        <w:t>дити резервну пумпу.</w:t>
      </w:r>
    </w:p>
    <w:p w:rsidR="004E3543" w:rsidRDefault="00155F55">
      <w:pPr>
        <w:spacing w:after="150"/>
      </w:pPr>
      <w:r>
        <w:rPr>
          <w:color w:val="000000"/>
        </w:rPr>
        <w:t>Када се за складиштење воде користе резервоари или други слични објекти они се морају заштити од замрзавања.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7.</w:t>
      </w:r>
    </w:p>
    <w:p w:rsidR="004E3543" w:rsidRDefault="00155F55">
      <w:pPr>
        <w:spacing w:after="150"/>
      </w:pPr>
      <w:r>
        <w:rPr>
          <w:color w:val="000000"/>
        </w:rPr>
        <w:t>Прилазни путеви станици и привременој станици, платои у саставу станице и привремене станице, који су намењени за ватр</w:t>
      </w:r>
      <w:r>
        <w:rPr>
          <w:color w:val="000000"/>
        </w:rPr>
        <w:t>огасна возила и ватрогасне пумпе морају имати потребну носивост и морају бити изведени тако да је увек могуће захватање воде, без обзира на ниво воде, метеоролошке услове и сл. и морају бити обележени и означени.</w:t>
      </w:r>
    </w:p>
    <w:p w:rsidR="004E3543" w:rsidRDefault="00155F55">
      <w:pPr>
        <w:spacing w:after="150"/>
      </w:pPr>
      <w:r>
        <w:rPr>
          <w:color w:val="000000"/>
        </w:rPr>
        <w:t>Станица за захватање воде мора имати најмањ</w:t>
      </w:r>
      <w:r>
        <w:rPr>
          <w:color w:val="000000"/>
        </w:rPr>
        <w:t>е две пумпе, односно радну и резервну.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8.</w:t>
      </w:r>
    </w:p>
    <w:p w:rsidR="004E3543" w:rsidRDefault="00155F55">
      <w:pPr>
        <w:spacing w:after="150"/>
      </w:pPr>
      <w:r>
        <w:rPr>
          <w:color w:val="000000"/>
        </w:rPr>
        <w:t>Станица се израђује на основу хидролошких података узетих за период од најмање 15 година.</w:t>
      </w:r>
    </w:p>
    <w:p w:rsidR="004E3543" w:rsidRDefault="00155F55">
      <w:pPr>
        <w:spacing w:after="150"/>
      </w:pPr>
      <w:r>
        <w:rPr>
          <w:color w:val="000000"/>
        </w:rPr>
        <w:t xml:space="preserve">Свака станица јавне водоводне мреже насељеног места са више од 2000 становника мора имати резервни извор за снабдевање </w:t>
      </w:r>
      <w:r>
        <w:rPr>
          <w:color w:val="000000"/>
        </w:rPr>
        <w:t>електричном енергијом.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9.</w:t>
      </w:r>
    </w:p>
    <w:p w:rsidR="004E3543" w:rsidRDefault="00155F55">
      <w:pPr>
        <w:spacing w:after="150"/>
      </w:pPr>
      <w:r>
        <w:rPr>
          <w:color w:val="000000"/>
        </w:rPr>
        <w:t>Инсталација спољне хидрантске мреже са спољним хидрантима мора бити изведена тако да се онемогући замрзавање воде, што се постиже укопавањем цевовода у земљу на дубини минимум 0,80 m мерено од коте терена до коте врха цеви, и</w:t>
      </w:r>
      <w:r>
        <w:rPr>
          <w:color w:val="000000"/>
        </w:rPr>
        <w:t>ли на други адекватан начин.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10.</w:t>
      </w:r>
    </w:p>
    <w:p w:rsidR="004E3543" w:rsidRDefault="00155F55">
      <w:pPr>
        <w:spacing w:after="150"/>
      </w:pPr>
      <w:r>
        <w:rPr>
          <w:color w:val="000000"/>
        </w:rPr>
        <w:t>Јавна водоводна мрежа насељеног места се мора предвидети и за гашење пожара, а потребна количина воде за гашења пожара одређује се према броју становника у зависности од рачунског броја истовремених пожара из Tабеле 1.</w:t>
      </w:r>
    </w:p>
    <w:p w:rsidR="004E3543" w:rsidRDefault="00155F55">
      <w:pPr>
        <w:spacing w:after="150"/>
      </w:pPr>
      <w:r>
        <w:rPr>
          <w:color w:val="000000"/>
        </w:rPr>
        <w:t>Табела 1.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012"/>
        <w:gridCol w:w="3204"/>
        <w:gridCol w:w="2912"/>
      </w:tblGrid>
      <w:tr w:rsidR="004E3543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b/>
                <w:color w:val="000000"/>
              </w:rPr>
              <w:t>Број становника</w:t>
            </w:r>
          </w:p>
          <w:p w:rsidR="004E3543" w:rsidRDefault="00155F55">
            <w:pPr>
              <w:spacing w:after="150"/>
              <w:jc w:val="center"/>
            </w:pPr>
            <w:r>
              <w:rPr>
                <w:b/>
                <w:color w:val="000000"/>
              </w:rPr>
              <w:t>[10³]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b/>
                <w:color w:val="000000"/>
              </w:rPr>
              <w:t>Рачунски број истовремених пожара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b/>
                <w:color w:val="000000"/>
              </w:rPr>
              <w:t>Најмања количина воде по једном пожару, без обзира на отпорност објекта према пожару [l/s]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до 5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lastRenderedPageBreak/>
              <w:t>6 до 10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11 до 25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20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26 до 50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25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51 до 100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35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101 до 200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 xml:space="preserve">201 до </w:t>
            </w:r>
            <w:r>
              <w:rPr>
                <w:color w:val="000000"/>
              </w:rPr>
              <w:t>300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45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301 до 400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50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401 до 500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55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501 до 600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601 до 700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65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701 до 800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70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801 до 1000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80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1001 до 2000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90</w:t>
            </w:r>
          </w:p>
        </w:tc>
      </w:tr>
    </w:tbl>
    <w:p w:rsidR="004E3543" w:rsidRDefault="00155F55">
      <w:pPr>
        <w:spacing w:after="150"/>
      </w:pPr>
      <w:r>
        <w:rPr>
          <w:color w:val="000000"/>
        </w:rPr>
        <w:t xml:space="preserve">Ако је насеље подељено у зоне према изворима за напајање водом за гашење пожара који нису међу собом повезани, </w:t>
      </w:r>
      <w:r>
        <w:rPr>
          <w:color w:val="000000"/>
        </w:rPr>
        <w:t>рачунски број истовремених пожара и количина воде за гашење пожара одређују се према броју становника који припадају одговарајућој зони.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11.</w:t>
      </w:r>
    </w:p>
    <w:p w:rsidR="004E3543" w:rsidRDefault="00155F55">
      <w:pPr>
        <w:spacing w:after="150"/>
      </w:pPr>
      <w:r>
        <w:rPr>
          <w:color w:val="000000"/>
        </w:rPr>
        <w:t xml:space="preserve">Количина воде у инсталацији спољне и унутрашње хидрантске мреже за гашење пожара једног објекта који се </w:t>
      </w:r>
      <w:r>
        <w:rPr>
          <w:color w:val="000000"/>
        </w:rPr>
        <w:t>штити зависи од:</w:t>
      </w:r>
    </w:p>
    <w:p w:rsidR="004E3543" w:rsidRDefault="00155F55">
      <w:pPr>
        <w:spacing w:after="150"/>
      </w:pPr>
      <w:r>
        <w:rPr>
          <w:color w:val="000000"/>
        </w:rPr>
        <w:t>1) степена отпорности конструкције објекта према пожару;</w:t>
      </w:r>
    </w:p>
    <w:p w:rsidR="004E3543" w:rsidRDefault="00155F55">
      <w:pPr>
        <w:spacing w:after="150"/>
      </w:pPr>
      <w:r>
        <w:rPr>
          <w:color w:val="000000"/>
        </w:rPr>
        <w:t>2) категорије технолошког процеса према угрожености од пожара у коју се сврстава тај објекат (К1 до К5 и К1Е);</w:t>
      </w:r>
    </w:p>
    <w:p w:rsidR="004E3543" w:rsidRDefault="00155F55">
      <w:pPr>
        <w:spacing w:after="150"/>
      </w:pPr>
      <w:r>
        <w:rPr>
          <w:color w:val="000000"/>
        </w:rPr>
        <w:t>3) запремине објекта.</w:t>
      </w:r>
    </w:p>
    <w:p w:rsidR="004E3543" w:rsidRDefault="00155F55">
      <w:pPr>
        <w:spacing w:after="150"/>
      </w:pPr>
      <w:r>
        <w:rPr>
          <w:color w:val="000000"/>
        </w:rPr>
        <w:t>Симболи за категорију технолошког процеса према у</w:t>
      </w:r>
      <w:r>
        <w:rPr>
          <w:color w:val="000000"/>
        </w:rPr>
        <w:t>грожености од пожара дати у Табели 2. имају следећа значења:</w:t>
      </w:r>
    </w:p>
    <w:p w:rsidR="004E3543" w:rsidRDefault="00155F55">
      <w:pPr>
        <w:spacing w:after="150"/>
      </w:pPr>
      <w:r>
        <w:rPr>
          <w:color w:val="000000"/>
        </w:rPr>
        <w:t>К1 – погони за производњу или прераду запаљивих гасова, запаљивих течности категорије 1 и категорије 2 и горивих прашкастих материја, производни погони у којима постоји присуство трајних или прим</w:t>
      </w:r>
      <w:r>
        <w:rPr>
          <w:color w:val="000000"/>
        </w:rPr>
        <w:t>арних извора опасности, производни погони у којима експлозивна смеша у нормалном раду може прећи вредност од 10% ДГЕ, производни погони експлозивних материја, производни погони за прераду и обраду материја у којима се развијају запаљиви гасови, запаљиве те</w:t>
      </w:r>
      <w:r>
        <w:rPr>
          <w:color w:val="000000"/>
        </w:rPr>
        <w:t xml:space="preserve">чности, фине прашине (пудери) са температуром тињања до 350 ºС или температуром паљења до </w:t>
      </w:r>
      <w:r>
        <w:rPr>
          <w:color w:val="000000"/>
        </w:rPr>
        <w:lastRenderedPageBreak/>
        <w:t>450 ºС, погони за производњу вискозних влакана, екстракцију бензином, хидрирање, рекуперацију и ректификацију органских растварача и складишта запаљивих и горивих теч</w:t>
      </w:r>
      <w:r>
        <w:rPr>
          <w:color w:val="000000"/>
        </w:rPr>
        <w:t xml:space="preserve">ности и запаљивих гасова, угљен-дисулфида, етра, ацетона и сл. погони у којима се користе јаки оксиданси, неоргански и органски пероксиди, хлорати, перхлорати, јодати, перјодати, бромати, пербромати, хромати, бихромати и сл., као и складишта ових материја </w:t>
      </w:r>
      <w:r>
        <w:rPr>
          <w:color w:val="000000"/>
        </w:rPr>
        <w:t>са количинама таквим да би пожар без ватрогасне интервенције трајао више од 30 min.</w:t>
      </w:r>
    </w:p>
    <w:p w:rsidR="004E3543" w:rsidRDefault="00155F55">
      <w:pPr>
        <w:spacing w:after="150"/>
      </w:pPr>
      <w:r>
        <w:rPr>
          <w:color w:val="000000"/>
        </w:rPr>
        <w:t xml:space="preserve">К1Е – погони у којима се користе јаки оксиданси, неоргански и органски пероксиди, хлорати, перхлорати, јодати, перјодати, бромати, пербромати, хромати, бихромати и сл. као </w:t>
      </w:r>
      <w:r>
        <w:rPr>
          <w:color w:val="000000"/>
        </w:rPr>
        <w:t>и складишта ових материја са великим количинама, када прети опасност од експлозије и пожара, таквим да би пожар без ватрогасне интервенције трајао више од 90 min.</w:t>
      </w:r>
    </w:p>
    <w:p w:rsidR="004E3543" w:rsidRDefault="00155F55">
      <w:pPr>
        <w:spacing w:after="150"/>
      </w:pPr>
      <w:r>
        <w:rPr>
          <w:color w:val="000000"/>
        </w:rPr>
        <w:t>К2 – погони у којима се користе, производе или прерађују запаљиве течности категорије 3, пого</w:t>
      </w:r>
      <w:r>
        <w:rPr>
          <w:color w:val="000000"/>
        </w:rPr>
        <w:t>ни у којима се прерадом стварају експлозивне прашине са темепературом тињања преко 350 ºС или температуром паљења преко 450 ºС, пумпна постројења за течне материје чија је тачка паљења између 60 ºC и 100 ºC, погони у којима се стварају угљена прашина, дрве</w:t>
      </w:r>
      <w:r>
        <w:rPr>
          <w:color w:val="000000"/>
        </w:rPr>
        <w:t>не струготине, брашно, шећер у праху, синтетички каучук у праху и сл., велика складишта, средња складишта производа од гуме, објекти висине преко 30 m, објекти у којима борави више од 500 лица и сл.</w:t>
      </w:r>
    </w:p>
    <w:p w:rsidR="004E3543" w:rsidRDefault="00155F55">
      <w:pPr>
        <w:spacing w:after="150"/>
      </w:pPr>
      <w:r>
        <w:rPr>
          <w:color w:val="000000"/>
        </w:rPr>
        <w:t xml:space="preserve">К3 – погони у којима се користе, производе или прерађују </w:t>
      </w:r>
      <w:r>
        <w:rPr>
          <w:color w:val="000000"/>
        </w:rPr>
        <w:t>течности са тачком паљења од 100 ºC до 300 ºC, гориве чврсте материје температуре паљења до 300 ºC, погони за механичку прераду дрвета и производњу хартије, погони за производњу текстила, погони за регенерацију уља за подмазивање, складишта мазива, средств</w:t>
      </w:r>
      <w:r>
        <w:rPr>
          <w:color w:val="000000"/>
        </w:rPr>
        <w:t>а за транспорт угља, затворена складишта угља, пумпне постројења за течне материје чија је тачка паљења 100 ºC до 300 ºC, средње и велике гараже, средња складишта, објекти висине од 22 m до 30 m, објекти у којима борави од 200 до 500 лица.</w:t>
      </w:r>
    </w:p>
    <w:p w:rsidR="004E3543" w:rsidRDefault="00155F55">
      <w:pPr>
        <w:spacing w:after="150"/>
      </w:pPr>
      <w:r>
        <w:rPr>
          <w:color w:val="000000"/>
        </w:rPr>
        <w:t>К4 – погони у ко</w:t>
      </w:r>
      <w:r>
        <w:rPr>
          <w:color w:val="000000"/>
        </w:rPr>
        <w:t>јима се користе, производе или прерађују негориве материје, погони у којима се ради са течностима чија је тачка паљења изнад 300 ºС, чврстим материјама чија је тачка паљења изнад 300 ºC и материјама које се прерађују у загрејаном, размекшаном или растопљен</w:t>
      </w:r>
      <w:r>
        <w:rPr>
          <w:color w:val="000000"/>
        </w:rPr>
        <w:t>ом стању, при чему се ослобађа топлота праћена искрама и пламеном, погони за топљење, ливење и прераду метала, гасно-генераторскa постројења, одељења за испитивање мотора са унутрашњим сагоревањем, котларнице, командне зграде у електроенергетским постројењ</w:t>
      </w:r>
      <w:r>
        <w:rPr>
          <w:color w:val="000000"/>
        </w:rPr>
        <w:t>има, погони у којима сагорева чврсто, течно и гасовито гориво, мале гараже, мала складишта, објекти у којима борави од 100 до 200 лица, објекти у којима бораве деца, стара лица, непокретни болесници, и сл. и објекти висине до 22 m.</w:t>
      </w:r>
    </w:p>
    <w:p w:rsidR="004E3543" w:rsidRDefault="00155F55">
      <w:pPr>
        <w:spacing w:after="150"/>
      </w:pPr>
      <w:r>
        <w:rPr>
          <w:color w:val="000000"/>
        </w:rPr>
        <w:t>К5 – представља категори</w:t>
      </w:r>
      <w:r>
        <w:rPr>
          <w:color w:val="000000"/>
        </w:rPr>
        <w:t xml:space="preserve">ју технолошког процеса угрожености према пожару у коју спадају погони у којима се ради са негоривим материјалима и хладним мокрим материјалом, на пример: погони за механичку обраду </w:t>
      </w:r>
      <w:r>
        <w:rPr>
          <w:color w:val="000000"/>
        </w:rPr>
        <w:lastRenderedPageBreak/>
        <w:t xml:space="preserve">метала, компресорске станице, погони за производњу негоривих гасова, мокра </w:t>
      </w:r>
      <w:r>
        <w:rPr>
          <w:color w:val="000000"/>
        </w:rPr>
        <w:t>одељења индустрије текстила и хартије, погони за добијање и хладну обраду минерала, азбеста и соли, објекти за прераду рибе, меса и млечних производа, водне станице и објекти који могу да приме до 100 лица.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12.</w:t>
      </w:r>
    </w:p>
    <w:p w:rsidR="004E3543" w:rsidRDefault="00155F55">
      <w:pPr>
        <w:spacing w:after="150"/>
      </w:pPr>
      <w:r>
        <w:rPr>
          <w:color w:val="000000"/>
        </w:rPr>
        <w:t xml:space="preserve">Количина воде спољне и </w:t>
      </w:r>
      <w:r>
        <w:rPr>
          <w:color w:val="000000"/>
        </w:rPr>
        <w:t>унутрашње хидрантске мреже за гашење пожара за један објекат [l/s] у зависности од степена отпорности објекта према пожару, категорије технолошког процеса према угрожености од пожара и запремине објекта, дата је у Tабели 2.</w:t>
      </w:r>
    </w:p>
    <w:p w:rsidR="004E3543" w:rsidRDefault="00155F55">
      <w:pPr>
        <w:spacing w:after="150"/>
      </w:pPr>
      <w:r>
        <w:rPr>
          <w:color w:val="000000"/>
        </w:rPr>
        <w:t>Табела 2.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34"/>
        <w:gridCol w:w="1535"/>
        <w:gridCol w:w="646"/>
        <w:gridCol w:w="646"/>
        <w:gridCol w:w="690"/>
        <w:gridCol w:w="690"/>
        <w:gridCol w:w="898"/>
        <w:gridCol w:w="898"/>
        <w:gridCol w:w="1091"/>
      </w:tblGrid>
      <w:tr w:rsidR="004E3543">
        <w:trPr>
          <w:trHeight w:val="45"/>
          <w:tblCellSpacing w:w="0" w:type="auto"/>
        </w:trPr>
        <w:tc>
          <w:tcPr>
            <w:tcW w:w="3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Категорија технолошког</w:t>
            </w:r>
            <w:r>
              <w:rPr>
                <w:color w:val="000000"/>
              </w:rPr>
              <w:t xml:space="preserve"> процеса према</w:t>
            </w:r>
            <w:r>
              <w:br/>
            </w:r>
            <w:r>
              <w:rPr>
                <w:color w:val="000000"/>
              </w:rPr>
              <w:t>угрожености од пожара</w:t>
            </w:r>
          </w:p>
        </w:tc>
        <w:tc>
          <w:tcPr>
            <w:tcW w:w="1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Степен отпорности</w:t>
            </w:r>
          </w:p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објекта на пожар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Запремина објекта који се штити</w:t>
            </w:r>
          </w:p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[103 m3]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543" w:rsidRDefault="004E354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543" w:rsidRDefault="004E3543"/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до 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од 2</w:t>
            </w:r>
          </w:p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до 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од 5</w:t>
            </w:r>
          </w:p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до 20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од 20</w:t>
            </w:r>
          </w:p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до 50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од 50</w:t>
            </w:r>
          </w:p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до 200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од 200</w:t>
            </w:r>
          </w:p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до 400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више од 400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543" w:rsidRDefault="004E354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543" w:rsidRDefault="004E3543"/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 xml:space="preserve">Количина воде инсталације спољне и унутрашње </w:t>
            </w:r>
            <w:r>
              <w:rPr>
                <w:color w:val="000000"/>
              </w:rPr>
              <w:t>хидрантске мреже за гашење пожара потребне за један објекат</w:t>
            </w:r>
          </w:p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[l/s]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3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K1, K1E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V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20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30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40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543" w:rsidRDefault="004E3543"/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IV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20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25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30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40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K1, K1E, K2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III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20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25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30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40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3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K2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IV, V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20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30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35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543" w:rsidRDefault="004E3543"/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I, II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20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25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30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40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3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K3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IV, V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20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30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35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543" w:rsidRDefault="004E3543"/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III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20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25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30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40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543" w:rsidRDefault="004E3543"/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I, II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20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25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30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35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40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3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K4, K5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IV, V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15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20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25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30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543" w:rsidRDefault="004E3543"/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III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20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25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35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543" w:rsidRDefault="004E3543"/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I, II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15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20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25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30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35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</w:pPr>
            <w:r>
              <w:rPr>
                <w:color w:val="000000"/>
              </w:rPr>
              <w:t>40</w:t>
            </w:r>
          </w:p>
        </w:tc>
      </w:tr>
    </w:tbl>
    <w:p w:rsidR="004E3543" w:rsidRDefault="00155F55">
      <w:pPr>
        <w:spacing w:after="150"/>
      </w:pPr>
      <w:r>
        <w:rPr>
          <w:color w:val="000000"/>
        </w:rPr>
        <w:t xml:space="preserve">Изузетно од става 1. овог члана, када је извршена подела објекта у пожарне сегменте, количина воде </w:t>
      </w:r>
      <w:r>
        <w:rPr>
          <w:color w:val="000000"/>
        </w:rPr>
        <w:t xml:space="preserve">спољне и унутрашње хидрантске мреже за гашење </w:t>
      </w:r>
      <w:r>
        <w:rPr>
          <w:color w:val="000000"/>
        </w:rPr>
        <w:lastRenderedPageBreak/>
        <w:t>пожара за објекат може се утврдити на основу запремине највећег пожарног сегмента.</w:t>
      </w:r>
    </w:p>
    <w:p w:rsidR="004E3543" w:rsidRDefault="00155F55">
      <w:pPr>
        <w:spacing w:after="150"/>
      </w:pPr>
      <w:r>
        <w:rPr>
          <w:color w:val="000000"/>
        </w:rPr>
        <w:t>За објекте за које је посебним прописима утврђена отпорност према пожару елемената грађевинске конструкције, али није дефинисан</w:t>
      </w:r>
      <w:r>
        <w:rPr>
          <w:color w:val="000000"/>
        </w:rPr>
        <w:t xml:space="preserve"> СОП објекта, потребна количина воде за гашење пожара из Табеле 2. утврђује се на основу еквивалентног СОП-а који се усваја на бази најниже вредности пројектоване отпорности према пожару носећих елемената конструкције и елемената конструкције на границама </w:t>
      </w:r>
      <w:r>
        <w:rPr>
          <w:color w:val="000000"/>
        </w:rPr>
        <w:t>пожарних сектора, а у складу са SRPS U.Ј1.240:1995.</w:t>
      </w:r>
    </w:p>
    <w:p w:rsidR="004E3543" w:rsidRDefault="00155F55">
      <w:pPr>
        <w:spacing w:after="150"/>
      </w:pPr>
      <w:r>
        <w:rPr>
          <w:color w:val="000000"/>
        </w:rPr>
        <w:t>За гашење пожара објеката сврстаних у категорије технолошког процеса према угрожености од пожара (К1 до К5 и К1Е) мора се обезбедити укупна количина воде за гашење пожара у времену од најмање 120 min кори</w:t>
      </w:r>
      <w:r>
        <w:rPr>
          <w:color w:val="000000"/>
        </w:rPr>
        <w:t>шћењем јавне односно локалне водоводне мреже.</w:t>
      </w:r>
    </w:p>
    <w:p w:rsidR="004E3543" w:rsidRDefault="00155F55">
      <w:pPr>
        <w:spacing w:after="150"/>
      </w:pPr>
      <w:r>
        <w:rPr>
          <w:color w:val="000000"/>
        </w:rPr>
        <w:t xml:space="preserve">У случају када се потребне количине воде не могу обезбедити коришћењем само једног поузданог извора воде, могу се предвидети техничка решења којима се обезбеђује комбиновано коришћење јавне и локалне водоводне </w:t>
      </w:r>
      <w:r>
        <w:rPr>
          <w:color w:val="000000"/>
        </w:rPr>
        <w:t>мреже.</w:t>
      </w:r>
    </w:p>
    <w:p w:rsidR="004E3543" w:rsidRDefault="00155F55">
      <w:pPr>
        <w:spacing w:after="150"/>
      </w:pPr>
      <w:r>
        <w:rPr>
          <w:color w:val="000000"/>
        </w:rPr>
        <w:t>У случају када се са истог извора воде напајају и други системи за гашење пожара, тада се укупна количина воде потребна за гашење пожара утврђује као збир укупне количине воде за гашење пожара употребом инсталације хидрантске мреже у трајању најмање</w:t>
      </w:r>
      <w:r>
        <w:rPr>
          <w:color w:val="000000"/>
        </w:rPr>
        <w:t xml:space="preserve"> 120 min и укупне количине воде за потребе других система за гашење пожара у трајању предвиђеном за те системе.</w:t>
      </w:r>
    </w:p>
    <w:p w:rsidR="004E3543" w:rsidRDefault="00155F55">
      <w:pPr>
        <w:spacing w:after="120"/>
        <w:jc w:val="center"/>
      </w:pPr>
      <w:r>
        <w:rPr>
          <w:color w:val="000000"/>
        </w:rPr>
        <w:t>III. СПОЉНА ХИДРАНТСКА МРЕЖА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13.</w:t>
      </w:r>
    </w:p>
    <w:p w:rsidR="004E3543" w:rsidRDefault="00155F55">
      <w:pPr>
        <w:spacing w:after="150"/>
      </w:pPr>
      <w:r>
        <w:rPr>
          <w:color w:val="000000"/>
        </w:rPr>
        <w:t xml:space="preserve">Спољна хидрантска мрежа се изводи као јавна водоводна мрежа насељеног места у надлежности јавног </w:t>
      </w:r>
      <w:r>
        <w:rPr>
          <w:color w:val="000000"/>
        </w:rPr>
        <w:t>предузећа на јавном земљишту (пешачке зоне, паркови, тротоари др.), или као локална водоводна мрежа комплекса у власништву привредног субјекта или другог правног или физичког лица.</w:t>
      </w:r>
    </w:p>
    <w:p w:rsidR="004E3543" w:rsidRDefault="00155F55">
      <w:pPr>
        <w:spacing w:after="150"/>
      </w:pPr>
      <w:r>
        <w:rPr>
          <w:color w:val="000000"/>
        </w:rPr>
        <w:t xml:space="preserve">За спољну хидрантску мрежу израђује се прстенасти систем цевовода, чији се </w:t>
      </w:r>
      <w:r>
        <w:rPr>
          <w:color w:val="000000"/>
        </w:rPr>
        <w:t>пречник утврђује прорачуном, али не сме бити мањи од Ø 100 mm.</w:t>
      </w:r>
    </w:p>
    <w:p w:rsidR="004E3543" w:rsidRDefault="00155F55">
      <w:pPr>
        <w:spacing w:after="150"/>
      </w:pPr>
      <w:r>
        <w:rPr>
          <w:color w:val="000000"/>
        </w:rPr>
        <w:t>Изузетно од става 2. овог члана дозвољава се изградња слепог цевовода пречника не мањег од Ø 80 mm и дужине ≤ 80 m, у случају када je потребна количина воде &lt; 10 l/s.</w:t>
      </w:r>
    </w:p>
    <w:p w:rsidR="004E3543" w:rsidRDefault="00155F55">
      <w:pPr>
        <w:spacing w:after="150"/>
      </w:pPr>
      <w:r>
        <w:rPr>
          <w:color w:val="000000"/>
        </w:rPr>
        <w:t>Прстенасти цевовод из став</w:t>
      </w:r>
      <w:r>
        <w:rPr>
          <w:color w:val="000000"/>
        </w:rPr>
        <w:t>а 2. овог члана има опрему се цевним затварачима тако да се у случају квара на једној грани прстена може остварити затварање само те гране, а да се не утиче на проток у осталим гранама прстена.</w:t>
      </w:r>
    </w:p>
    <w:p w:rsidR="004E3543" w:rsidRDefault="00155F55">
      <w:pPr>
        <w:spacing w:after="150"/>
      </w:pPr>
      <w:r>
        <w:rPr>
          <w:color w:val="000000"/>
        </w:rPr>
        <w:t>У случају када цевоводи спољне хидрантске мреже нису укопани у</w:t>
      </w:r>
      <w:r>
        <w:rPr>
          <w:color w:val="000000"/>
        </w:rPr>
        <w:t xml:space="preserve"> земљу изводе се од негоривог материјала.</w:t>
      </w:r>
    </w:p>
    <w:p w:rsidR="004E3543" w:rsidRDefault="00155F55">
      <w:pPr>
        <w:spacing w:after="120"/>
        <w:jc w:val="center"/>
      </w:pPr>
      <w:r>
        <w:rPr>
          <w:color w:val="000000"/>
        </w:rPr>
        <w:lastRenderedPageBreak/>
        <w:t>Члан 14.</w:t>
      </w:r>
    </w:p>
    <w:p w:rsidR="004E3543" w:rsidRDefault="00155F55">
      <w:pPr>
        <w:spacing w:after="150"/>
      </w:pPr>
      <w:r>
        <w:rPr>
          <w:color w:val="000000"/>
        </w:rPr>
        <w:t>Растојање између спољних хидраната на јавној водоводној мрежи насељеног места и локалној водоводној мрежи комплекса може бити највише 80 m.</w:t>
      </w:r>
    </w:p>
    <w:p w:rsidR="004E3543" w:rsidRDefault="00155F55">
      <w:pPr>
        <w:spacing w:after="150"/>
      </w:pPr>
      <w:r>
        <w:rPr>
          <w:color w:val="000000"/>
        </w:rPr>
        <w:t xml:space="preserve">Изузетно, растојање између спољних хидраната на јавној </w:t>
      </w:r>
      <w:r>
        <w:rPr>
          <w:color w:val="000000"/>
        </w:rPr>
        <w:t>водоводној мрежи насељеног места у којима су планским документима предвиђени претежно стамбени објекти може бити највише 150 m, а у целинама са слободностојећим породичним стамбеним објектима, растојање може бити највише 300 m.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15.</w:t>
      </w:r>
    </w:p>
    <w:p w:rsidR="004E3543" w:rsidRDefault="00155F55">
      <w:pPr>
        <w:spacing w:after="150"/>
      </w:pPr>
      <w:r>
        <w:rPr>
          <w:color w:val="000000"/>
        </w:rPr>
        <w:t>Растојање спољнoг х</w:t>
      </w:r>
      <w:r>
        <w:rPr>
          <w:color w:val="000000"/>
        </w:rPr>
        <w:t>идранта, намењеног за непосредно гашење, од зида објекта који се штити је најмање 5 m, а највише 80 m, с тим да се пожар на сваком објекту мора гасити са најмање два спољна хидранта.</w:t>
      </w:r>
    </w:p>
    <w:p w:rsidR="004E3543" w:rsidRDefault="00155F55">
      <w:pPr>
        <w:spacing w:after="150"/>
      </w:pPr>
      <w:r>
        <w:rPr>
          <w:color w:val="000000"/>
        </w:rPr>
        <w:t>Потребан број и распоред спољних хидраната одређује се у зависности од на</w:t>
      </w:r>
      <w:r>
        <w:rPr>
          <w:color w:val="000000"/>
        </w:rPr>
        <w:t>мене, величине и сличних карактеристика објекта, који се постављају тако да се целокупан објекат штити.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16.</w:t>
      </w:r>
    </w:p>
    <w:p w:rsidR="004E3543" w:rsidRDefault="00155F55">
      <w:pPr>
        <w:spacing w:after="150"/>
      </w:pPr>
      <w:r>
        <w:rPr>
          <w:color w:val="000000"/>
        </w:rPr>
        <w:t>На водоводну мрежу (цевоводе спољње хидрантске мреже) постављају се надземни хидранти.</w:t>
      </w:r>
    </w:p>
    <w:p w:rsidR="004E3543" w:rsidRDefault="00155F55">
      <w:pPr>
        <w:spacing w:after="150"/>
      </w:pPr>
      <w:r>
        <w:rPr>
          <w:color w:val="000000"/>
        </w:rPr>
        <w:t>Изузетно од става 1. овог члана, спољни хидранти могу би</w:t>
      </w:r>
      <w:r>
        <w:rPr>
          <w:color w:val="000000"/>
        </w:rPr>
        <w:t>ти подземни, ако надземни хидранти ометају саобраћај и ако то одобри надлежни орган за заштиту од пожара.</w:t>
      </w:r>
    </w:p>
    <w:p w:rsidR="004E3543" w:rsidRDefault="00155F55">
      <w:pPr>
        <w:spacing w:after="150"/>
      </w:pPr>
      <w:r>
        <w:rPr>
          <w:color w:val="000000"/>
        </w:rPr>
        <w:t>Надземни и подземни хидранти морају бити постављени тако да је омогућено сигурно и ефикасно руковање и њихова употреба.</w:t>
      </w:r>
    </w:p>
    <w:p w:rsidR="004E3543" w:rsidRDefault="00155F55">
      <w:pPr>
        <w:spacing w:after="150"/>
      </w:pPr>
      <w:r>
        <w:rPr>
          <w:color w:val="000000"/>
        </w:rPr>
        <w:t>Према протоку који треба оства</w:t>
      </w:r>
      <w:r>
        <w:rPr>
          <w:color w:val="000000"/>
        </w:rPr>
        <w:t>рити, уграђују се хидранти Ø 80 или Ø 100.</w:t>
      </w:r>
    </w:p>
    <w:p w:rsidR="004E3543" w:rsidRDefault="00155F55">
      <w:pPr>
        <w:spacing w:after="150"/>
      </w:pPr>
      <w:r>
        <w:rPr>
          <w:color w:val="000000"/>
        </w:rPr>
        <w:t>Хидранти морају бити постављени тако да се не смеју замрзнути или оштетити, или се морају додатно заштитити од замрзавања и оштећења.</w:t>
      </w:r>
    </w:p>
    <w:p w:rsidR="004E3543" w:rsidRDefault="00155F55">
      <w:pPr>
        <w:spacing w:after="150"/>
      </w:pPr>
      <w:r>
        <w:rPr>
          <w:color w:val="000000"/>
        </w:rPr>
        <w:t>Сматра се да су услови из става 3. овога члана испуњени ако су надземни хидрант</w:t>
      </w:r>
      <w:r>
        <w:rPr>
          <w:color w:val="000000"/>
        </w:rPr>
        <w:t>и произведени према SRPS EN 14384, а подземни према SRPS EN 14339, што се доказује одговарајућом исправом о усаглашености у складу са посебним прописом којим је уређена ова област и ако су изабрани и постављени у складу са Правилником.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17.</w:t>
      </w:r>
    </w:p>
    <w:p w:rsidR="004E3543" w:rsidRDefault="00155F55">
      <w:pPr>
        <w:spacing w:after="150"/>
      </w:pPr>
      <w:r>
        <w:rPr>
          <w:color w:val="000000"/>
        </w:rPr>
        <w:t>Најмањи при</w:t>
      </w:r>
      <w:r>
        <w:rPr>
          <w:color w:val="000000"/>
        </w:rPr>
        <w:t>тисак на прикључку било ког надземног или подземног хидранта спољне хидрантске мреже за гашење пожара код прописаног протока воде, не сме бити мањи од 2,5 bar.</w:t>
      </w:r>
    </w:p>
    <w:p w:rsidR="004E3543" w:rsidRDefault="00155F55">
      <w:pPr>
        <w:spacing w:after="150"/>
      </w:pPr>
      <w:r>
        <w:rPr>
          <w:color w:val="000000"/>
        </w:rPr>
        <w:t>Потребан притисак у спољној хидрантској мрежи за непосредно гашење пожара одређује се прорачуном</w:t>
      </w:r>
      <w:r>
        <w:rPr>
          <w:color w:val="000000"/>
        </w:rPr>
        <w:t xml:space="preserve"> у зависности од хидранта са </w:t>
      </w:r>
      <w:r>
        <w:rPr>
          <w:color w:val="000000"/>
        </w:rPr>
        <w:lastRenderedPageBreak/>
        <w:t>најнеповољнијим положајем, тако да проток воде на хидранту није мањи од 5 l/s и притисак не сме бити мањи од 2,5 bar.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18.</w:t>
      </w:r>
    </w:p>
    <w:p w:rsidR="004E3543" w:rsidRDefault="00155F55">
      <w:pPr>
        <w:spacing w:after="150"/>
      </w:pPr>
      <w:r>
        <w:rPr>
          <w:color w:val="000000"/>
        </w:rPr>
        <w:t xml:space="preserve">Место постављања подземног хидранта из члана 16. став 2. овог правилника мора се означити на уочљив </w:t>
      </w:r>
      <w:r>
        <w:rPr>
          <w:color w:val="000000"/>
        </w:rPr>
        <w:t>начин.</w:t>
      </w:r>
    </w:p>
    <w:p w:rsidR="004E3543" w:rsidRDefault="00155F55">
      <w:pPr>
        <w:spacing w:after="150"/>
      </w:pPr>
      <w:r>
        <w:rPr>
          <w:color w:val="000000"/>
        </w:rPr>
        <w:t>Сматра се се да је захтев из ставa 1. овог члана испуњен ако се означавање изврши у складу са захтевима стандарда SRPS EN 14339.</w:t>
      </w:r>
    </w:p>
    <w:p w:rsidR="004E3543" w:rsidRDefault="00155F55">
      <w:pPr>
        <w:spacing w:after="150"/>
      </w:pPr>
      <w:r>
        <w:rPr>
          <w:color w:val="000000"/>
        </w:rPr>
        <w:t>У непосредној близини спољног хидранта предвиђеног за непосредно гашење пожара, мора се налазити орман са ватрогасним цр</w:t>
      </w:r>
      <w:r>
        <w:rPr>
          <w:color w:val="000000"/>
        </w:rPr>
        <w:t>евима потребне дужине, млазницама и осталим ватрогасним арматурама (редуцири, разделнице и сл.).</w:t>
      </w:r>
    </w:p>
    <w:p w:rsidR="004E3543" w:rsidRDefault="00155F55">
      <w:pPr>
        <w:spacing w:after="120"/>
        <w:jc w:val="center"/>
      </w:pPr>
      <w:r>
        <w:rPr>
          <w:color w:val="000000"/>
        </w:rPr>
        <w:t>IV. УНУТРАШЊА ХИДРАНТСКА МРЕЖА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19.</w:t>
      </w:r>
    </w:p>
    <w:p w:rsidR="004E3543" w:rsidRDefault="00155F55">
      <w:pPr>
        <w:spacing w:after="150"/>
      </w:pPr>
      <w:r>
        <w:rPr>
          <w:color w:val="000000"/>
        </w:rPr>
        <w:t>Унутрашња хидрантска мрежа у стамбеним, пословним и јавним објектима и производним погонима може бити засебна или зајед</w:t>
      </w:r>
      <w:r>
        <w:rPr>
          <w:color w:val="000000"/>
        </w:rPr>
        <w:t>ничка са мрежом воде за пиће.</w:t>
      </w:r>
    </w:p>
    <w:p w:rsidR="004E3543" w:rsidRDefault="00155F55">
      <w:pPr>
        <w:spacing w:after="150"/>
      </w:pPr>
      <w:r>
        <w:rPr>
          <w:color w:val="000000"/>
        </w:rPr>
        <w:t>У засебној унутрашњој хидрантској мрежи може се користити и вода употребљена у технолошком процесу.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20.</w:t>
      </w:r>
    </w:p>
    <w:p w:rsidR="004E3543" w:rsidRDefault="00155F55">
      <w:pPr>
        <w:spacing w:after="150"/>
      </w:pPr>
      <w:r>
        <w:rPr>
          <w:color w:val="000000"/>
        </w:rPr>
        <w:t xml:space="preserve">Цевовод унутрашње хидрантске мреже од места прикључења па до било ког вентила унутрашњег хидранта, мора бити под </w:t>
      </w:r>
      <w:r>
        <w:rPr>
          <w:color w:val="000000"/>
        </w:rPr>
        <w:t>притиском и стално испуњен водом.</w:t>
      </w:r>
    </w:p>
    <w:p w:rsidR="004E3543" w:rsidRDefault="00155F55">
      <w:pPr>
        <w:spacing w:after="150"/>
      </w:pPr>
      <w:r>
        <w:rPr>
          <w:color w:val="000000"/>
        </w:rPr>
        <w:t>Унутрашња хидрантска мрежа мора имати минимални проток воде на најнеповољнијем месту у складу са Tабелом 3.</w:t>
      </w:r>
    </w:p>
    <w:p w:rsidR="004E3543" w:rsidRDefault="00155F55">
      <w:pPr>
        <w:spacing w:after="150"/>
      </w:pPr>
      <w:r>
        <w:rPr>
          <w:color w:val="000000"/>
        </w:rPr>
        <w:t>Табела 3.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26"/>
        <w:gridCol w:w="1403"/>
        <w:gridCol w:w="2234"/>
        <w:gridCol w:w="2234"/>
        <w:gridCol w:w="1631"/>
      </w:tblGrid>
      <w:tr w:rsidR="004E3543">
        <w:trPr>
          <w:trHeight w:val="45"/>
          <w:tblCellSpacing w:w="0" w:type="auto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b/>
                <w:color w:val="000000"/>
              </w:rPr>
              <w:t>Висина објекта</w:t>
            </w:r>
          </w:p>
          <w:p w:rsidR="004E3543" w:rsidRDefault="00155F55">
            <w:pPr>
              <w:spacing w:after="150"/>
              <w:jc w:val="center"/>
            </w:pPr>
            <w:r>
              <w:rPr>
                <w:b/>
                <w:color w:val="000000"/>
              </w:rPr>
              <w:t>[m]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b/>
                <w:color w:val="000000"/>
              </w:rPr>
              <w:t>до 22*</w:t>
            </w:r>
          </w:p>
        </w:tc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b/>
                <w:color w:val="000000"/>
              </w:rPr>
              <w:t>од 22 до 40*</w:t>
            </w:r>
          </w:p>
        </w:tc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b/>
                <w:color w:val="000000"/>
              </w:rPr>
              <w:t>од 40 до 75*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b/>
                <w:color w:val="000000"/>
              </w:rPr>
              <w:t>изнад 75</w:t>
            </w:r>
          </w:p>
        </w:tc>
      </w:tr>
      <w:tr w:rsidR="004E3543">
        <w:trPr>
          <w:trHeight w:val="45"/>
          <w:tblCellSpacing w:w="0" w:type="auto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Количина воде</w:t>
            </w:r>
          </w:p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[l/s]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7,5</w:t>
            </w:r>
          </w:p>
        </w:tc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543" w:rsidRDefault="00155F55">
            <w:pPr>
              <w:spacing w:after="150"/>
              <w:jc w:val="center"/>
            </w:pPr>
            <w:r>
              <w:rPr>
                <w:color w:val="000000"/>
              </w:rPr>
              <w:t>12,5</w:t>
            </w:r>
          </w:p>
        </w:tc>
      </w:tr>
    </w:tbl>
    <w:p w:rsidR="004E3543" w:rsidRDefault="00155F55">
      <w:pPr>
        <w:spacing w:after="150"/>
      </w:pPr>
      <w:r>
        <w:rPr>
          <w:i/>
          <w:color w:val="000000"/>
        </w:rPr>
        <w:t>Напомена: * означава да је укључена и та вредност</w:t>
      </w:r>
    </w:p>
    <w:p w:rsidR="004E3543" w:rsidRDefault="00155F55">
      <w:pPr>
        <w:spacing w:after="150"/>
      </w:pPr>
      <w:r>
        <w:rPr>
          <w:color w:val="000000"/>
        </w:rPr>
        <w:t>Најнижи притисак на млазници за гашење пожара, на најнеповољнијем месту не сме бити мањи од 2,5 bar при протоку воде датом у Табели 3.</w:t>
      </w:r>
    </w:p>
    <w:p w:rsidR="004E3543" w:rsidRDefault="00155F55">
      <w:pPr>
        <w:spacing w:after="150"/>
      </w:pPr>
      <w:r>
        <w:rPr>
          <w:color w:val="000000"/>
        </w:rPr>
        <w:t>Максимални статички притисак на било ком унутрашњем хидранту не сме бит</w:t>
      </w:r>
      <w:r>
        <w:rPr>
          <w:color w:val="000000"/>
        </w:rPr>
        <w:t>и већи од 7 bar.</w:t>
      </w:r>
    </w:p>
    <w:p w:rsidR="004E3543" w:rsidRDefault="00155F55">
      <w:pPr>
        <w:spacing w:after="120"/>
        <w:jc w:val="center"/>
      </w:pPr>
      <w:r>
        <w:rPr>
          <w:color w:val="000000"/>
        </w:rPr>
        <w:lastRenderedPageBreak/>
        <w:t>Члан 21.</w:t>
      </w:r>
    </w:p>
    <w:p w:rsidR="004E3543" w:rsidRDefault="00155F55">
      <w:pPr>
        <w:spacing w:after="150"/>
      </w:pPr>
      <w:r>
        <w:rPr>
          <w:color w:val="000000"/>
        </w:rPr>
        <w:t>У објекту који се штити, на цевоводима унутрашње хидрантске мреже, морају се поставити унутрашњи хидранти са припадајућом опремом.</w:t>
      </w:r>
    </w:p>
    <w:p w:rsidR="004E3543" w:rsidRDefault="00155F55">
      <w:pPr>
        <w:spacing w:after="150"/>
      </w:pPr>
      <w:r>
        <w:rPr>
          <w:color w:val="000000"/>
        </w:rPr>
        <w:t xml:space="preserve">Унутрашњa хидрантска мрежа мора бити изведени тако да је омогућено сигурно и ефикасно </w:t>
      </w:r>
      <w:r>
        <w:rPr>
          <w:color w:val="000000"/>
        </w:rPr>
        <w:t>руковање унутрашњим хидрантима, као и њихова употреба за непосредно гашење пожара.</w:t>
      </w:r>
    </w:p>
    <w:p w:rsidR="004E3543" w:rsidRDefault="00155F55">
      <w:pPr>
        <w:spacing w:after="150"/>
      </w:pPr>
      <w:r>
        <w:rPr>
          <w:color w:val="000000"/>
        </w:rPr>
        <w:t>За унутрашњу хидрантску мрежу користе се унутрашњи хидранти и припадајућа опрема који одговарају стандарду SRPS EN 671-2, што се доказује одговарајућом исправом о усаглашено</w:t>
      </w:r>
      <w:r>
        <w:rPr>
          <w:color w:val="000000"/>
        </w:rPr>
        <w:t>сти у складу са посебним прописом којим је уређена ова област.</w:t>
      </w:r>
    </w:p>
    <w:p w:rsidR="004E3543" w:rsidRDefault="00155F55">
      <w:pPr>
        <w:spacing w:after="150"/>
      </w:pPr>
      <w:r>
        <w:rPr>
          <w:color w:val="000000"/>
        </w:rPr>
        <w:t>Изузетно од става 3. овог члана, у стамбеним и пословним објектима категорије К3 које имају мање од 5 надземних етажа, за унутрашњу хидрантску мрежу могу се користити унутрашњи хидранти у склад</w:t>
      </w:r>
      <w:r>
        <w:rPr>
          <w:color w:val="000000"/>
        </w:rPr>
        <w:t>у са стандардом SRPS EN 671-1, што се доказује одговарајућом исправом о усаглашености у складу са посебним прописом којим је уређена ова област.</w:t>
      </w:r>
    </w:p>
    <w:p w:rsidR="004E3543" w:rsidRDefault="00155F55">
      <w:pPr>
        <w:spacing w:after="150"/>
      </w:pPr>
      <w:r>
        <w:rPr>
          <w:color w:val="000000"/>
        </w:rPr>
        <w:t>Уколико се за унутрашњу хидрантску мрежу користе хидранти из става 4. овог члана мора се извести још један слоб</w:t>
      </w:r>
      <w:r>
        <w:rPr>
          <w:color w:val="000000"/>
        </w:rPr>
        <w:t>одан стандардни прикључак пречника Ø 52 mm.</w:t>
      </w:r>
    </w:p>
    <w:p w:rsidR="004E3543" w:rsidRDefault="00155F55">
      <w:pPr>
        <w:spacing w:after="150"/>
      </w:pPr>
      <w:r>
        <w:rPr>
          <w:color w:val="000000"/>
        </w:rPr>
        <w:t>Унутрашњи хидранти и припадајућа опрема морају се смештати у хидрантске ормаре.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22.</w:t>
      </w:r>
    </w:p>
    <w:p w:rsidR="004E3543" w:rsidRDefault="00155F55">
      <w:pPr>
        <w:spacing w:after="150"/>
      </w:pPr>
      <w:r>
        <w:rPr>
          <w:color w:val="000000"/>
        </w:rPr>
        <w:t>За унутрашњу хидрантску мрежу морају се користити поцинковане челичне цеви најмањег унутрашњег пречника Ø52 mm.</w:t>
      </w:r>
    </w:p>
    <w:p w:rsidR="004E3543" w:rsidRDefault="00155F55">
      <w:pPr>
        <w:spacing w:after="150"/>
      </w:pPr>
      <w:r>
        <w:rPr>
          <w:color w:val="000000"/>
        </w:rPr>
        <w:t>Цевоводи унутрашње хидрантске мреже који су изложени удару (на пример услед кретања моторних возила у гаражама, складиштима и сл.), замрзавању воде и сличним утицајима, морају бити заштићени од штетног дејства тих утицаја.</w:t>
      </w:r>
    </w:p>
    <w:p w:rsidR="004E3543" w:rsidRDefault="00155F55">
      <w:pPr>
        <w:spacing w:after="150"/>
      </w:pPr>
      <w:r>
        <w:rPr>
          <w:color w:val="000000"/>
        </w:rPr>
        <w:t>Цевовод унутрашње хидрантске мреж</w:t>
      </w:r>
      <w:r>
        <w:rPr>
          <w:color w:val="000000"/>
        </w:rPr>
        <w:t>е не поставља се кроз просторије угрожене експлозијом, сем оног дела цевовода који се односи непосредно на ту просторију.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23.</w:t>
      </w:r>
    </w:p>
    <w:p w:rsidR="004E3543" w:rsidRDefault="00155F55">
      <w:pPr>
        <w:spacing w:after="150"/>
      </w:pPr>
      <w:r>
        <w:rPr>
          <w:color w:val="000000"/>
        </w:rPr>
        <w:t>Унутрашња хидрантска мрежа изводи се тако да се непосредним гашењем мора обухватити свака просторија објекта.</w:t>
      </w:r>
    </w:p>
    <w:p w:rsidR="004E3543" w:rsidRDefault="00155F55">
      <w:pPr>
        <w:spacing w:after="150"/>
      </w:pPr>
      <w:r>
        <w:rPr>
          <w:color w:val="000000"/>
        </w:rPr>
        <w:t>Приликом употре</w:t>
      </w:r>
      <w:r>
        <w:rPr>
          <w:color w:val="000000"/>
        </w:rPr>
        <w:t xml:space="preserve">бе унутрашњих хидраната и припадајуће опреме према стандарду SRPS EN 671-2 међусобно растојање зидних хидраната одређује се тако да се целокупан простор штити најмање једним млазом воде, урачунавајући дужину ватрогасног црева од 15 m односно 20 m и дужину </w:t>
      </w:r>
      <w:r>
        <w:rPr>
          <w:color w:val="000000"/>
        </w:rPr>
        <w:t>млаза од 5 m.</w:t>
      </w:r>
    </w:p>
    <w:p w:rsidR="004E3543" w:rsidRDefault="00155F55">
      <w:pPr>
        <w:spacing w:after="150"/>
      </w:pPr>
      <w:r>
        <w:rPr>
          <w:color w:val="000000"/>
        </w:rPr>
        <w:lastRenderedPageBreak/>
        <w:t>Изузетно од става 2. овог члана приликом употребе унутрашњих хидраната и припадајуће опреме према стандарду SRPS EN 671-1 међусобно растојање зидних хидраната одређује се тако да се целокупан простор штити најмање једним млазом воде, урачунав</w:t>
      </w:r>
      <w:r>
        <w:rPr>
          <w:color w:val="000000"/>
        </w:rPr>
        <w:t>ајући дужину ватрогасног црева од 30 m и дужину млаза од 5 m.</w:t>
      </w:r>
    </w:p>
    <w:p w:rsidR="004E3543" w:rsidRDefault="00155F55">
      <w:pPr>
        <w:spacing w:after="150"/>
      </w:pPr>
      <w:r>
        <w:rPr>
          <w:color w:val="000000"/>
        </w:rPr>
        <w:t xml:space="preserve">Просторијa са високим пожарним оптерећењем и површином већом од 500 m² мора имати онолико зидних хидраната колико је потребно да се једновремено може штитити млазом из најмање два хидранта, при </w:t>
      </w:r>
      <w:r>
        <w:rPr>
          <w:color w:val="000000"/>
        </w:rPr>
        <w:t>чему се може користити и оближњи хидрант из ходника.</w:t>
      </w:r>
    </w:p>
    <w:p w:rsidR="004E3543" w:rsidRDefault="00155F55">
      <w:pPr>
        <w:spacing w:after="150"/>
      </w:pPr>
      <w:r>
        <w:rPr>
          <w:color w:val="000000"/>
        </w:rPr>
        <w:t>Сматра се да је у просторијама са висином већом од 12 m (бине позоришта, спортске хале и др.) испуњен захтев из става 2. овог члана, ако је свака тачка пода ове просторије покривена млазом воде са унутра</w:t>
      </w:r>
      <w:r>
        <w:rPr>
          <w:color w:val="000000"/>
        </w:rPr>
        <w:t>шњег хидранта урачунавајући дужину ватрогасног црева од 15 m односно 20 m и дужину млаза од 5 m, а унутрашњи хидранти су распоређени на обимним зидовима просторије на нивоу пода, приземља, галерије, балкона и сл.</w:t>
      </w:r>
    </w:p>
    <w:p w:rsidR="004E3543" w:rsidRDefault="00155F55">
      <w:pPr>
        <w:spacing w:after="150"/>
      </w:pPr>
      <w:r>
        <w:rPr>
          <w:color w:val="000000"/>
        </w:rPr>
        <w:t>Изузетно од става 5. овог члана када на оби</w:t>
      </w:r>
      <w:r>
        <w:rPr>
          <w:color w:val="000000"/>
        </w:rPr>
        <w:t>мним зидовима просторије нема галерија, балкона и сл. унутрашњи хидранти се могу поставити само на нивоу приземља (односно 1,5 m од нивоа пода) просторије која се гаси.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24.</w:t>
      </w:r>
    </w:p>
    <w:p w:rsidR="004E3543" w:rsidRDefault="00155F55">
      <w:pPr>
        <w:spacing w:after="150"/>
      </w:pPr>
      <w:r>
        <w:rPr>
          <w:color w:val="000000"/>
        </w:rPr>
        <w:t>Хидрантски ормари се постављају у ходнике објекта, пролазе, степенишне простор</w:t>
      </w:r>
      <w:r>
        <w:rPr>
          <w:color w:val="000000"/>
        </w:rPr>
        <w:t>е и евакуациионе путеве, у непосредној близини улазних врата просторија које могу бити угрожене пожаром, и то на лако уочљивом месту тако да не ометају евакуацију, а ако се ради о великим просторијама хидрантски ормари се постављају на зид са унутрашње стр</w:t>
      </w:r>
      <w:r>
        <w:rPr>
          <w:color w:val="000000"/>
        </w:rPr>
        <w:t>ане просторије у близини улазних врата.</w:t>
      </w:r>
    </w:p>
    <w:p w:rsidR="004E3543" w:rsidRDefault="00155F55">
      <w:pPr>
        <w:spacing w:after="150"/>
      </w:pPr>
      <w:r>
        <w:rPr>
          <w:color w:val="000000"/>
        </w:rPr>
        <w:t>Хидрантски ормар се поставља тако да вентил унутрашњег хидранта мора бити на висини 1,5 m од пода.</w:t>
      </w:r>
    </w:p>
    <w:p w:rsidR="004E3543" w:rsidRDefault="00155F55">
      <w:pPr>
        <w:spacing w:after="120"/>
        <w:jc w:val="center"/>
      </w:pPr>
      <w:r>
        <w:rPr>
          <w:color w:val="000000"/>
        </w:rPr>
        <w:t>V. УРЕЂАЈ ЗА ПОДИЗАЊЕ ПРИТИСКА ВОДЕ У ХИДРАНТСКОЈ МРЕЖИ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25.</w:t>
      </w:r>
    </w:p>
    <w:p w:rsidR="004E3543" w:rsidRDefault="00155F55">
      <w:pPr>
        <w:spacing w:after="150"/>
      </w:pPr>
      <w:r>
        <w:rPr>
          <w:color w:val="000000"/>
        </w:rPr>
        <w:t>Уколико у хидрантској мрежи за гашење пожара при про</w:t>
      </w:r>
      <w:r>
        <w:rPr>
          <w:color w:val="000000"/>
        </w:rPr>
        <w:t>писаној количини воде, на хидранту није могуће постићи минимални прописани притисак, тада се мора уградити одговарајући уређај за подизање притиска воде у хидрантској мрежи.</w:t>
      </w:r>
    </w:p>
    <w:p w:rsidR="004E3543" w:rsidRDefault="00155F55">
      <w:pPr>
        <w:spacing w:after="150"/>
      </w:pPr>
      <w:r>
        <w:rPr>
          <w:color w:val="000000"/>
        </w:rPr>
        <w:t>Уређај за подизање притиска воде у хидрантској мрежи из става 1. овог члана може д</w:t>
      </w:r>
      <w:r>
        <w:rPr>
          <w:color w:val="000000"/>
        </w:rPr>
        <w:t>а служи за подизање притиска воде у хидрантској мрежи само за један објекат или за комплекс објеката.</w:t>
      </w:r>
    </w:p>
    <w:p w:rsidR="004E3543" w:rsidRDefault="00155F55">
      <w:pPr>
        <w:spacing w:after="150"/>
      </w:pPr>
      <w:r>
        <w:rPr>
          <w:color w:val="000000"/>
        </w:rPr>
        <w:t>Уређај за подизање притиска воде у хидрантској мрежи мора бити смештен у посебну просторију, која је пожарно издвојена од осталих делова објекта, са зидов</w:t>
      </w:r>
      <w:r>
        <w:rPr>
          <w:color w:val="000000"/>
        </w:rPr>
        <w:t>има и таваницом отпорним према пожару најмање 120 min и вратима отпорним према пожару најмање 90 min.</w:t>
      </w:r>
    </w:p>
    <w:p w:rsidR="004E3543" w:rsidRDefault="00155F55">
      <w:pPr>
        <w:spacing w:after="150"/>
      </w:pPr>
      <w:r>
        <w:rPr>
          <w:color w:val="000000"/>
        </w:rPr>
        <w:lastRenderedPageBreak/>
        <w:t>У просторију из става 3. овог члана може бити смештена и опрема других система намењених за гашење пожара.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26.</w:t>
      </w:r>
    </w:p>
    <w:p w:rsidR="004E3543" w:rsidRDefault="00155F55">
      <w:pPr>
        <w:spacing w:after="150"/>
      </w:pPr>
      <w:r>
        <w:rPr>
          <w:color w:val="000000"/>
        </w:rPr>
        <w:t>Уређај за подизање притиска воде у хид</w:t>
      </w:r>
      <w:r>
        <w:rPr>
          <w:color w:val="000000"/>
        </w:rPr>
        <w:t>рантској мрежи мора имати радну и резервну пумпу, обилазни вод, растеретни вод у функцији контроле рада пумпи, аутоматски старт, као и могућност ручног активирања из просторије самог уређаја.</w:t>
      </w:r>
    </w:p>
    <w:p w:rsidR="004E3543" w:rsidRDefault="00155F55">
      <w:pPr>
        <w:spacing w:after="150"/>
      </w:pPr>
      <w:r>
        <w:rPr>
          <w:color w:val="000000"/>
        </w:rPr>
        <w:t>Уређај за подизање притиска воде у хидрантској мрежи који се нап</w:t>
      </w:r>
      <w:r>
        <w:rPr>
          <w:color w:val="000000"/>
        </w:rPr>
        <w:t>аја електричном енергијом мора имати могућност свакодневне аутоматске контроле рада свих пумпи (тест рад), сигнализацију квара и визуелне свакодневне контроле уређаја.</w:t>
      </w:r>
    </w:p>
    <w:p w:rsidR="004E3543" w:rsidRDefault="00155F55">
      <w:pPr>
        <w:spacing w:after="150"/>
      </w:pPr>
      <w:r>
        <w:rPr>
          <w:color w:val="000000"/>
        </w:rPr>
        <w:t xml:space="preserve">Уређај за подизање притиска воде у хидрантској мрежи који функционише на бази техничких </w:t>
      </w:r>
      <w:r>
        <w:rPr>
          <w:color w:val="000000"/>
        </w:rPr>
        <w:t>решења за које се не захтева електрична енергија, контролише се визуелно свакодневно и ручним укључивањем сваких петнаест дана, а у складу са упутством произвођача.</w:t>
      </w:r>
    </w:p>
    <w:p w:rsidR="004E3543" w:rsidRDefault="00155F55">
      <w:pPr>
        <w:spacing w:after="150"/>
      </w:pPr>
      <w:r>
        <w:rPr>
          <w:color w:val="000000"/>
        </w:rPr>
        <w:t>Уколико је притисак у инсталацији хидрантске мреже изнад дозвољеног притиска потребно је уг</w:t>
      </w:r>
      <w:r>
        <w:rPr>
          <w:color w:val="000000"/>
        </w:rPr>
        <w:t>радити уређаје који ће овај притисак умањити.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27.</w:t>
      </w:r>
    </w:p>
    <w:p w:rsidR="004E3543" w:rsidRDefault="00155F55">
      <w:pPr>
        <w:spacing w:after="150"/>
      </w:pPr>
      <w:r>
        <w:rPr>
          <w:color w:val="000000"/>
        </w:rPr>
        <w:t>Када се у објектима поставља уређај за подизање притиска воде у хидрантској мрежи који се напаја електричном енергијом, тада тај уређај мора имати резервни извор за снабдевање електричном енергијом и м</w:t>
      </w:r>
      <w:r>
        <w:rPr>
          <w:color w:val="000000"/>
        </w:rPr>
        <w:t>ора се аутоматски укључивати.</w:t>
      </w:r>
    </w:p>
    <w:p w:rsidR="004E3543" w:rsidRDefault="00155F55">
      <w:pPr>
        <w:spacing w:after="150"/>
      </w:pPr>
      <w:r>
        <w:rPr>
          <w:color w:val="000000"/>
        </w:rPr>
        <w:t>Изузетно од става 1. овог члана у објектима категорије технолошког процеса угрожености од пожара К4 и К5, уређај за подизање притиска може да се снабдева електричном енергијом преко посебног кабла из посебне кућне прикључне ку</w:t>
      </w:r>
      <w:r>
        <w:rPr>
          <w:color w:val="000000"/>
        </w:rPr>
        <w:t>тије која се налази на фасади објекта код улаза и означена је црвеном дијагоналном цртом.</w:t>
      </w:r>
    </w:p>
    <w:p w:rsidR="004E3543" w:rsidRDefault="00155F55">
      <w:pPr>
        <w:spacing w:after="150"/>
      </w:pPr>
      <w:r>
        <w:rPr>
          <w:color w:val="000000"/>
        </w:rPr>
        <w:t>Ако су елементи електричног развода за напајање електричних компоненти уређаја за подизање притиска воде у хидрантској мрежи изложени условима пожара, они морају имат</w:t>
      </w:r>
      <w:r>
        <w:rPr>
          <w:color w:val="000000"/>
        </w:rPr>
        <w:t>и такве карактеристике да могу функционисати у условима пожара најмање 120 min и морају имати исправу о усаглашености у складу са посебним прописом којим је уређена ова област.</w:t>
      </w:r>
    </w:p>
    <w:p w:rsidR="004E3543" w:rsidRDefault="00155F55">
      <w:pPr>
        <w:spacing w:after="150"/>
      </w:pPr>
      <w:r>
        <w:rPr>
          <w:color w:val="000000"/>
        </w:rPr>
        <w:t xml:space="preserve">Резервни извор за снабдевање електричном енергијом контролише се ручним </w:t>
      </w:r>
      <w:r>
        <w:rPr>
          <w:color w:val="000000"/>
        </w:rPr>
        <w:t>укључивањем сваких петнаест дана, а у складу са упутством произвођача.</w:t>
      </w:r>
    </w:p>
    <w:p w:rsidR="004E3543" w:rsidRDefault="00155F55">
      <w:pPr>
        <w:spacing w:after="120"/>
        <w:jc w:val="center"/>
      </w:pPr>
      <w:r>
        <w:rPr>
          <w:color w:val="000000"/>
        </w:rPr>
        <w:t>VI. СУВИ ВОД МОКРО-СУВЕ УНУТРАШЊЕ ХИДРАНТСКЕ МРЕЖЕ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28.</w:t>
      </w:r>
    </w:p>
    <w:p w:rsidR="004E3543" w:rsidRDefault="00155F55">
      <w:pPr>
        <w:spacing w:after="150"/>
      </w:pPr>
      <w:r>
        <w:rPr>
          <w:color w:val="000000"/>
        </w:rPr>
        <w:lastRenderedPageBreak/>
        <w:t>Изузетно од члана 20. став 1. овог правилника, делови цевовода унутрашње хидрантске мреже могу бити изграђени као суви вод (м</w:t>
      </w:r>
      <w:r>
        <w:rPr>
          <w:color w:val="000000"/>
        </w:rPr>
        <w:t>окро-сува хидрантска мрежа), ако то одобри надлежни орган за заштиту од пожара.</w:t>
      </w:r>
    </w:p>
    <w:p w:rsidR="004E3543" w:rsidRDefault="00155F55">
      <w:pPr>
        <w:spacing w:after="150"/>
      </w:pPr>
      <w:r>
        <w:rPr>
          <w:color w:val="000000"/>
        </w:rPr>
        <w:t xml:space="preserve">Суви вод на унутрашњој хидрантској мрежи која је под сталним притиском воде може да се изведе на местима где може доћи до замрзавања воде и поред тога што су цевоводи термички </w:t>
      </w:r>
      <w:r>
        <w:rPr>
          <w:color w:val="000000"/>
        </w:rPr>
        <w:t>изоловани или узидани.</w:t>
      </w:r>
    </w:p>
    <w:p w:rsidR="004E3543" w:rsidRDefault="00155F55">
      <w:pPr>
        <w:spacing w:after="150"/>
      </w:pPr>
      <w:r>
        <w:rPr>
          <w:color w:val="000000"/>
        </w:rPr>
        <w:t>Вентил на преласку цевовода у суви вод мора бити на лако видном и приступачном месту, тамо где не може доћи до замрзавања воде и поред њега мора да се постави табла са лако читљивим упозорењем „Вентил за пуштање воде у суви вод унутр</w:t>
      </w:r>
      <w:r>
        <w:rPr>
          <w:color w:val="000000"/>
        </w:rPr>
        <w:t>ашње хидрантске мреже”.</w:t>
      </w:r>
    </w:p>
    <w:p w:rsidR="004E3543" w:rsidRDefault="00155F55">
      <w:pPr>
        <w:spacing w:after="150"/>
      </w:pPr>
      <w:r>
        <w:rPr>
          <w:color w:val="000000"/>
        </w:rPr>
        <w:t>Испуњавање цевовода водом до унутрашњег хидранта са најнеповољнијим положајем мора се вршити аутоматски и не може бити дуже од 60 s, при чему се мора омогућити несметано испуштање ваздуха као и лако пражњење воде после коришћења или</w:t>
      </w:r>
      <w:r>
        <w:rPr>
          <w:color w:val="000000"/>
        </w:rPr>
        <w:t xml:space="preserve"> контроле сувог вода.</w:t>
      </w:r>
    </w:p>
    <w:p w:rsidR="004E3543" w:rsidRDefault="00155F55">
      <w:pPr>
        <w:spacing w:after="120"/>
        <w:jc w:val="center"/>
      </w:pPr>
      <w:r>
        <w:rPr>
          <w:color w:val="000000"/>
        </w:rPr>
        <w:t>VII. ПРИКЉУЧАК ЗА ВАТРОГАСНА ВОЗИЛА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29.</w:t>
      </w:r>
    </w:p>
    <w:p w:rsidR="004E3543" w:rsidRDefault="00155F55">
      <w:pPr>
        <w:spacing w:after="150"/>
      </w:pPr>
      <w:r>
        <w:rPr>
          <w:color w:val="000000"/>
        </w:rPr>
        <w:t xml:space="preserve">У објектима у којима се, поред поузданог извора снабдевања водом, предвиђа прикључак за ватрогасна возила, прикључак се мора сместити у лако уочљивом орману на фасади објекта ближе главном </w:t>
      </w:r>
      <w:r>
        <w:rPr>
          <w:color w:val="000000"/>
        </w:rPr>
        <w:t>улазу у објекат, на висини од 60 cm до 120 cm од терена.</w:t>
      </w:r>
    </w:p>
    <w:p w:rsidR="004E3543" w:rsidRDefault="00155F55">
      <w:pPr>
        <w:spacing w:after="150"/>
      </w:pPr>
      <w:r>
        <w:rPr>
          <w:color w:val="000000"/>
        </w:rPr>
        <w:t>Прикључак из става 1. овог члана мора бити у складу са стандардом за потисна црева ватрогасних возила и отвара се кључем намењеним за коришћење спољног хидранта.</w:t>
      </w:r>
    </w:p>
    <w:p w:rsidR="004E3543" w:rsidRDefault="00155F55">
      <w:pPr>
        <w:spacing w:after="150"/>
      </w:pPr>
      <w:r>
        <w:rPr>
          <w:color w:val="000000"/>
        </w:rPr>
        <w:t>Поред ормана из става 1. овог члана м</w:t>
      </w:r>
      <w:r>
        <w:rPr>
          <w:color w:val="000000"/>
        </w:rPr>
        <w:t>ора да се постави табла са лако читљивим упозорењем „Прикључак за ватрогасно возило”.</w:t>
      </w:r>
    </w:p>
    <w:p w:rsidR="004E3543" w:rsidRDefault="00155F55">
      <w:pPr>
        <w:spacing w:after="120"/>
        <w:jc w:val="center"/>
      </w:pPr>
      <w:r>
        <w:rPr>
          <w:color w:val="000000"/>
        </w:rPr>
        <w:t>VIII. КОНТРОЛИСАЊЕ И ОДРЖАВАЊЕ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30.</w:t>
      </w:r>
    </w:p>
    <w:p w:rsidR="004E3543" w:rsidRDefault="00155F55">
      <w:pPr>
        <w:spacing w:after="150"/>
      </w:pPr>
      <w:r>
        <w:rPr>
          <w:color w:val="000000"/>
        </w:rPr>
        <w:t xml:space="preserve">Притисак и проток воде у инсталацији хидрантске мреже се мери на контролној млазници, на хидранту са </w:t>
      </w:r>
      <w:r>
        <w:rPr>
          <w:color w:val="000000"/>
        </w:rPr>
        <w:t>најнеповољнијим положајем у односу на прикључни шахт или пумпну станицу. Притисак и проток воде у хидрантској мрежи се мери при истовременом раду свих спољних и унутрашњих хидраната који дају потребну количину воде за гашење пожара на том објекту. На спољн</w:t>
      </w:r>
      <w:r>
        <w:rPr>
          <w:color w:val="000000"/>
        </w:rPr>
        <w:t>е хидранте постављају се млазнице са усником пречника 16 mm, а на унутрашње хидранте постављају се млазнице са усником пречника 12 mm.</w:t>
      </w:r>
    </w:p>
    <w:p w:rsidR="004E3543" w:rsidRDefault="00155F55">
      <w:pPr>
        <w:spacing w:after="150"/>
      </w:pPr>
      <w:r>
        <w:rPr>
          <w:color w:val="000000"/>
        </w:rPr>
        <w:t>Притисак и проток се мери при истицању воде у пуном млазу из свих хидраната из става 1. овог члана у времену потребном да</w:t>
      </w:r>
      <w:r>
        <w:rPr>
          <w:color w:val="000000"/>
        </w:rPr>
        <w:t xml:space="preserve"> се установи поуздан параметар мерења, које се наводи у исправи о контролисању инсталација хидрантске мреже за гашење пожара утврђену посебним прописом.</w:t>
      </w:r>
    </w:p>
    <w:p w:rsidR="004E3543" w:rsidRDefault="00155F55">
      <w:pPr>
        <w:spacing w:after="150"/>
      </w:pPr>
      <w:r>
        <w:rPr>
          <w:color w:val="000000"/>
        </w:rPr>
        <w:lastRenderedPageBreak/>
        <w:t>Одржавање и контролисање инсталације хидрантске мреже, спољних и унутрашњих хидраната и припадајуће опр</w:t>
      </w:r>
      <w:r>
        <w:rPr>
          <w:color w:val="000000"/>
        </w:rPr>
        <w:t>еме врши се у складу са одредбама овог правилника, стандардом SRPS EN 671-3 и упутствима произвођача.</w:t>
      </w:r>
    </w:p>
    <w:p w:rsidR="004E3543" w:rsidRDefault="00155F55">
      <w:pPr>
        <w:spacing w:after="150"/>
      </w:pPr>
      <w:r>
        <w:rPr>
          <w:color w:val="000000"/>
        </w:rPr>
        <w:t>Отклањање недостатака утврђених у току контролисања потребно је извршити одмах након контролисања, али се мора водити рачуна да се у току ових радова омог</w:t>
      </w:r>
      <w:r>
        <w:rPr>
          <w:color w:val="000000"/>
        </w:rPr>
        <w:t>ући коришћење хидрантске инсталације за непосредно гашење пожара.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31.</w:t>
      </w:r>
    </w:p>
    <w:p w:rsidR="004E3543" w:rsidRDefault="00155F55">
      <w:pPr>
        <w:spacing w:after="150"/>
      </w:pPr>
      <w:r>
        <w:rPr>
          <w:color w:val="000000"/>
        </w:rPr>
        <w:t>Сваки хидрант мора бити стално доступан, а простор око хидранта који је намењен за употребу хидранта мора бити слободан.</w:t>
      </w:r>
    </w:p>
    <w:p w:rsidR="004E3543" w:rsidRDefault="00155F55">
      <w:pPr>
        <w:spacing w:after="150"/>
      </w:pPr>
      <w:r>
        <w:rPr>
          <w:color w:val="000000"/>
        </w:rPr>
        <w:t>Сваки хидрант за непосредно гашење мора имати припадајућу оп</w:t>
      </w:r>
      <w:r>
        <w:rPr>
          <w:color w:val="000000"/>
        </w:rPr>
        <w:t>рему за гашење пожара.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32.</w:t>
      </w:r>
    </w:p>
    <w:p w:rsidR="004E3543" w:rsidRDefault="00155F55">
      <w:pPr>
        <w:spacing w:after="150"/>
      </w:pPr>
      <w:r>
        <w:rPr>
          <w:color w:val="000000"/>
        </w:rPr>
        <w:t>Суви вод мокро-суве хидрантске мреже за гашење пожара испуњава се водом и контролише исто као хидрантска мрежа која је стално испуњена водом.</w:t>
      </w:r>
    </w:p>
    <w:p w:rsidR="004E3543" w:rsidRDefault="00155F55">
      <w:pPr>
        <w:spacing w:after="120"/>
        <w:jc w:val="center"/>
      </w:pPr>
      <w:r>
        <w:rPr>
          <w:color w:val="000000"/>
        </w:rPr>
        <w:t>IX. ЗАВРШНЕ ОДРЕДБЕ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33.</w:t>
      </w:r>
    </w:p>
    <w:p w:rsidR="004E3543" w:rsidRDefault="00155F55">
      <w:pPr>
        <w:spacing w:after="150"/>
      </w:pPr>
      <w:r>
        <w:rPr>
          <w:color w:val="000000"/>
        </w:rPr>
        <w:t>Одредбе овог правилника не примењују се на хидрантску</w:t>
      </w:r>
      <w:r>
        <w:rPr>
          <w:color w:val="000000"/>
        </w:rPr>
        <w:t xml:space="preserve"> мрежу која је изграђена или реконструисана пре ступања на снагу овог правилника, осим одредби чл. 30. и 31. овог правилника које се односе на периодично контролисање хидрантске мреже.</w:t>
      </w:r>
    </w:p>
    <w:p w:rsidR="004E3543" w:rsidRDefault="00155F55">
      <w:pPr>
        <w:spacing w:after="150"/>
      </w:pPr>
      <w:r>
        <w:rPr>
          <w:color w:val="000000"/>
        </w:rPr>
        <w:t>Периодично контролисање суве хидрантске мреже изграђене или реконструис</w:t>
      </w:r>
      <w:r>
        <w:rPr>
          <w:color w:val="000000"/>
        </w:rPr>
        <w:t>ане пре ступања на снагу овог правилника врши се у складу са одредбама прописа који је важио у време изградње или реконструкције ове инсталације.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34.</w:t>
      </w:r>
    </w:p>
    <w:p w:rsidR="004E3543" w:rsidRDefault="00155F55">
      <w:pPr>
        <w:spacing w:after="150"/>
      </w:pPr>
      <w:r>
        <w:rPr>
          <w:color w:val="000000"/>
        </w:rPr>
        <w:t xml:space="preserve">Даном ступања на снагу овог правилника престаје да важи Правилник о техничким нормативима за </w:t>
      </w:r>
      <w:r>
        <w:rPr>
          <w:color w:val="000000"/>
        </w:rPr>
        <w:t>хидрантску мрежу за гашење пожара („Службени лист СФРЈ”, број 30/91).</w:t>
      </w:r>
    </w:p>
    <w:p w:rsidR="004E3543" w:rsidRDefault="00155F55">
      <w:pPr>
        <w:spacing w:after="120"/>
        <w:jc w:val="center"/>
      </w:pPr>
      <w:r>
        <w:rPr>
          <w:color w:val="000000"/>
        </w:rPr>
        <w:t>Члан 35.</w:t>
      </w:r>
    </w:p>
    <w:p w:rsidR="004E3543" w:rsidRDefault="00155F55">
      <w:pPr>
        <w:spacing w:after="150"/>
      </w:pPr>
      <w:r>
        <w:rPr>
          <w:color w:val="000000"/>
        </w:rPr>
        <w:t>Овај правилник ступа на снагу осмог дана од објављивања у „Службеном гласнику Републике Србије”.</w:t>
      </w:r>
    </w:p>
    <w:p w:rsidR="004E3543" w:rsidRDefault="00155F55">
      <w:pPr>
        <w:spacing w:after="150"/>
        <w:jc w:val="right"/>
      </w:pPr>
      <w:r>
        <w:rPr>
          <w:color w:val="000000"/>
        </w:rPr>
        <w:t>Број 01-12067/17-3</w:t>
      </w:r>
    </w:p>
    <w:p w:rsidR="004E3543" w:rsidRDefault="00155F55">
      <w:pPr>
        <w:spacing w:after="150"/>
        <w:jc w:val="right"/>
      </w:pPr>
      <w:r>
        <w:rPr>
          <w:color w:val="000000"/>
        </w:rPr>
        <w:t>У Београду, 5. јануара 2018. године</w:t>
      </w:r>
    </w:p>
    <w:p w:rsidR="004E3543" w:rsidRDefault="00155F55">
      <w:pPr>
        <w:spacing w:after="150"/>
        <w:jc w:val="right"/>
      </w:pPr>
      <w:r>
        <w:rPr>
          <w:color w:val="000000"/>
        </w:rPr>
        <w:t>Министар,</w:t>
      </w:r>
    </w:p>
    <w:p w:rsidR="004E3543" w:rsidRDefault="00155F55">
      <w:pPr>
        <w:spacing w:after="150"/>
        <w:jc w:val="right"/>
      </w:pPr>
      <w:r>
        <w:rPr>
          <w:color w:val="000000"/>
        </w:rPr>
        <w:lastRenderedPageBreak/>
        <w:t xml:space="preserve">др </w:t>
      </w:r>
      <w:r>
        <w:rPr>
          <w:b/>
          <w:color w:val="000000"/>
        </w:rPr>
        <w:t>Небојша Стеф</w:t>
      </w:r>
      <w:r>
        <w:rPr>
          <w:b/>
          <w:color w:val="000000"/>
        </w:rPr>
        <w:t>ановић,</w:t>
      </w:r>
      <w:r>
        <w:rPr>
          <w:color w:val="000000"/>
        </w:rPr>
        <w:t xml:space="preserve"> с.р.</w:t>
      </w:r>
    </w:p>
    <w:sectPr w:rsidR="004E35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543"/>
    <w:rsid w:val="00155F55"/>
    <w:rsid w:val="004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51CA5-29E1-44E8-AFB2-54F7E141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5186</Words>
  <Characters>29562</Characters>
  <Application>Microsoft Office Word</Application>
  <DocSecurity>0</DocSecurity>
  <Lines>246</Lines>
  <Paragraphs>69</Paragraphs>
  <ScaleCrop>false</ScaleCrop>
  <Company/>
  <LinksUpToDate>false</LinksUpToDate>
  <CharactersWithSpaces>34679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Zlatan Pesic</cp:lastModifiedBy>
  <cp:revision>3</cp:revision>
  <dcterms:created xsi:type="dcterms:W3CDTF">2019-04-16T08:39:00Z</dcterms:created>
  <dcterms:modified xsi:type="dcterms:W3CDTF">2019-04-16T08:39:00Z</dcterms:modified>
</cp:coreProperties>
</file>